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1"/>
      </w:tblGrid>
      <w:tr w:rsidR="004A276D" w:rsidRPr="00527EE5" w14:paraId="787EB7E9" w14:textId="77777777" w:rsidTr="008600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ED917B9" w14:textId="6D93DA66" w:rsidR="004A276D" w:rsidRPr="00527EE5" w:rsidRDefault="004A276D" w:rsidP="00156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Phase:</w:t>
            </w:r>
            <w:r w:rsidR="0051365B"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96FFE62" w14:textId="77777777" w:rsidR="004A276D" w:rsidRPr="00527EE5" w:rsidRDefault="004A276D" w:rsidP="00156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Led by:</w:t>
            </w:r>
          </w:p>
        </w:tc>
      </w:tr>
      <w:tr w:rsidR="004A276D" w:rsidRPr="00527EE5" w14:paraId="7D403123" w14:textId="77777777" w:rsidTr="001568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C55" w14:textId="61EF5E06" w:rsidR="004A276D" w:rsidRPr="00527EE5" w:rsidRDefault="00145ED1" w:rsidP="00554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Lower Key Stage 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7EE" w14:textId="4BCFD31E" w:rsidR="004A276D" w:rsidRPr="00527EE5" w:rsidRDefault="00145ED1" w:rsidP="001568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Louisa Milner</w:t>
            </w:r>
          </w:p>
        </w:tc>
      </w:tr>
    </w:tbl>
    <w:p w14:paraId="1818148D" w14:textId="4920A65B" w:rsidR="004A276D" w:rsidRPr="00527EE5" w:rsidRDefault="004A276D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5921"/>
      </w:tblGrid>
      <w:tr w:rsidR="00FB739A" w:rsidRPr="00527EE5" w14:paraId="50C2A1D9" w14:textId="77777777" w:rsidTr="0086003D">
        <w:tc>
          <w:tcPr>
            <w:tcW w:w="16147" w:type="dxa"/>
            <w:shd w:val="clear" w:color="auto" w:fill="943634" w:themeFill="accent2" w:themeFillShade="BF"/>
          </w:tcPr>
          <w:p w14:paraId="2EF6E52C" w14:textId="7C8CFE3C" w:rsidR="00FB739A" w:rsidRPr="00527EE5" w:rsidRDefault="00FB739A" w:rsidP="00FA533B">
            <w:pPr>
              <w:tabs>
                <w:tab w:val="left" w:pos="2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Context Statement:</w:t>
            </w: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FB739A" w:rsidRPr="00527EE5" w14:paraId="71B5CAF6" w14:textId="77777777" w:rsidTr="004A276D">
        <w:tc>
          <w:tcPr>
            <w:tcW w:w="16147" w:type="dxa"/>
            <w:shd w:val="clear" w:color="auto" w:fill="F2F2F2" w:themeFill="background1" w:themeFillShade="F2"/>
          </w:tcPr>
          <w:p w14:paraId="71481939" w14:textId="58FD73A0" w:rsidR="007E6872" w:rsidRDefault="00145ED1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data capture is from Autumn term 1</w:t>
            </w:r>
          </w:p>
          <w:p w14:paraId="00F5C015" w14:textId="23FD597F" w:rsidR="009F23BA" w:rsidRDefault="00554808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FE3660" wp14:editId="764E8BD4">
                  <wp:simplePos x="0" y="0"/>
                  <wp:positionH relativeFrom="column">
                    <wp:posOffset>6187403</wp:posOffset>
                  </wp:positionH>
                  <wp:positionV relativeFrom="paragraph">
                    <wp:posOffset>129060</wp:posOffset>
                  </wp:positionV>
                  <wp:extent cx="3813499" cy="101791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063" cy="102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C229A3" wp14:editId="3D028165">
                  <wp:simplePos x="0" y="0"/>
                  <wp:positionH relativeFrom="column">
                    <wp:posOffset>3084973</wp:posOffset>
                  </wp:positionH>
                  <wp:positionV relativeFrom="paragraph">
                    <wp:posOffset>131517</wp:posOffset>
                  </wp:positionV>
                  <wp:extent cx="3108206" cy="106965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206" cy="106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3BA">
              <w:rPr>
                <w:noProof/>
                <w:lang w:eastAsia="en-GB"/>
              </w:rPr>
              <w:drawing>
                <wp:inline distT="0" distB="0" distL="0" distR="0" wp14:anchorId="70440E93" wp14:editId="5DCA3CF8">
                  <wp:extent cx="3079631" cy="1198332"/>
                  <wp:effectExtent l="0" t="0" r="698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7502"/>
                          <a:stretch/>
                        </pic:blipFill>
                        <pic:spPr bwMode="auto">
                          <a:xfrm>
                            <a:off x="0" y="0"/>
                            <a:ext cx="3087580" cy="120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5F1DBA" w14:textId="0C97BBA2" w:rsidR="004372D1" w:rsidRDefault="004372D1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417"/>
              <w:gridCol w:w="1418"/>
              <w:gridCol w:w="1417"/>
            </w:tblGrid>
            <w:tr w:rsidR="004372D1" w14:paraId="7B9F9025" w14:textId="77777777" w:rsidTr="004372D1">
              <w:tc>
                <w:tcPr>
                  <w:tcW w:w="1871" w:type="dxa"/>
                </w:tcPr>
                <w:p w14:paraId="0075DCB1" w14:textId="77777777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44A0270D" w14:textId="75BF9435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Reading OT+</w:t>
                  </w:r>
                </w:p>
              </w:tc>
              <w:tc>
                <w:tcPr>
                  <w:tcW w:w="1418" w:type="dxa"/>
                </w:tcPr>
                <w:p w14:paraId="4F06F2C4" w14:textId="654D5895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Writing OT+</w:t>
                  </w:r>
                </w:p>
              </w:tc>
              <w:tc>
                <w:tcPr>
                  <w:tcW w:w="1417" w:type="dxa"/>
                </w:tcPr>
                <w:p w14:paraId="589C34B9" w14:textId="55CE3939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Maths OT+</w:t>
                  </w:r>
                </w:p>
              </w:tc>
            </w:tr>
            <w:tr w:rsidR="004372D1" w14:paraId="22AFD8FA" w14:textId="77777777" w:rsidTr="004372D1">
              <w:tc>
                <w:tcPr>
                  <w:tcW w:w="1871" w:type="dxa"/>
                </w:tcPr>
                <w:p w14:paraId="3369CDB5" w14:textId="6D5773E8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Combined Year 3</w:t>
                  </w:r>
                </w:p>
              </w:tc>
              <w:tc>
                <w:tcPr>
                  <w:tcW w:w="1417" w:type="dxa"/>
                </w:tcPr>
                <w:p w14:paraId="7D0572BD" w14:textId="2F44513D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61.1%</w:t>
                  </w:r>
                </w:p>
              </w:tc>
              <w:tc>
                <w:tcPr>
                  <w:tcW w:w="1418" w:type="dxa"/>
                </w:tcPr>
                <w:p w14:paraId="550FC2A2" w14:textId="2329442B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53.7%</w:t>
                  </w:r>
                </w:p>
              </w:tc>
              <w:tc>
                <w:tcPr>
                  <w:tcW w:w="1417" w:type="dxa"/>
                </w:tcPr>
                <w:p w14:paraId="58AA91FF" w14:textId="6E9A375E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64.8%</w:t>
                  </w:r>
                </w:p>
              </w:tc>
            </w:tr>
            <w:tr w:rsidR="004372D1" w14:paraId="741D2E9E" w14:textId="77777777" w:rsidTr="004372D1">
              <w:tc>
                <w:tcPr>
                  <w:tcW w:w="1871" w:type="dxa"/>
                </w:tcPr>
                <w:p w14:paraId="5C8A163A" w14:textId="7B8569DE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Baseline Year 3</w:t>
                  </w:r>
                </w:p>
              </w:tc>
              <w:tc>
                <w:tcPr>
                  <w:tcW w:w="1417" w:type="dxa"/>
                </w:tcPr>
                <w:p w14:paraId="3883A5E8" w14:textId="53B0ED44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57.4%</w:t>
                  </w:r>
                </w:p>
              </w:tc>
              <w:tc>
                <w:tcPr>
                  <w:tcW w:w="1418" w:type="dxa"/>
                </w:tcPr>
                <w:p w14:paraId="2D809245" w14:textId="74A82744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417" w:type="dxa"/>
                </w:tcPr>
                <w:p w14:paraId="38782481" w14:textId="4D0DD750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64.8%</w:t>
                  </w:r>
                </w:p>
              </w:tc>
            </w:tr>
            <w:tr w:rsidR="004372D1" w14:paraId="16B9E1C4" w14:textId="77777777" w:rsidTr="004372D1">
              <w:tc>
                <w:tcPr>
                  <w:tcW w:w="1871" w:type="dxa"/>
                </w:tcPr>
                <w:p w14:paraId="4F23B387" w14:textId="609DBD3F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Combined Year 4</w:t>
                  </w:r>
                </w:p>
              </w:tc>
              <w:tc>
                <w:tcPr>
                  <w:tcW w:w="1417" w:type="dxa"/>
                </w:tcPr>
                <w:p w14:paraId="27AB318A" w14:textId="47314C11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72.9%</w:t>
                  </w:r>
                </w:p>
              </w:tc>
              <w:tc>
                <w:tcPr>
                  <w:tcW w:w="1418" w:type="dxa"/>
                </w:tcPr>
                <w:p w14:paraId="6D983965" w14:textId="6C975A9F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67.1%</w:t>
                  </w:r>
                </w:p>
              </w:tc>
              <w:tc>
                <w:tcPr>
                  <w:tcW w:w="1417" w:type="dxa"/>
                </w:tcPr>
                <w:p w14:paraId="03DED5BA" w14:textId="1A905E8E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72.9%</w:t>
                  </w:r>
                </w:p>
              </w:tc>
            </w:tr>
            <w:tr w:rsidR="004372D1" w14:paraId="5C344E0E" w14:textId="77777777" w:rsidTr="004372D1">
              <w:tc>
                <w:tcPr>
                  <w:tcW w:w="1871" w:type="dxa"/>
                </w:tcPr>
                <w:p w14:paraId="1F573AF1" w14:textId="6E8CDFE5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Baseline Year 4</w:t>
                  </w:r>
                </w:p>
              </w:tc>
              <w:tc>
                <w:tcPr>
                  <w:tcW w:w="1417" w:type="dxa"/>
                </w:tcPr>
                <w:p w14:paraId="707D04D1" w14:textId="401323D3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69%</w:t>
                  </w:r>
                </w:p>
              </w:tc>
              <w:tc>
                <w:tcPr>
                  <w:tcW w:w="1418" w:type="dxa"/>
                </w:tcPr>
                <w:p w14:paraId="072EBAE5" w14:textId="0F637EA0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69%</w:t>
                  </w:r>
                </w:p>
              </w:tc>
              <w:tc>
                <w:tcPr>
                  <w:tcW w:w="1417" w:type="dxa"/>
                </w:tcPr>
                <w:p w14:paraId="26C48523" w14:textId="048743FE" w:rsidR="004372D1" w:rsidRDefault="004372D1" w:rsidP="00D876D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64.8%</w:t>
                  </w:r>
                </w:p>
              </w:tc>
            </w:tr>
          </w:tbl>
          <w:p w14:paraId="77C1FD00" w14:textId="4F17774A" w:rsidR="004372D1" w:rsidRDefault="004372D1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0D033" w14:textId="4F17774A" w:rsidR="00145ED1" w:rsidRDefault="004372D1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FE16768" wp14:editId="000F57D5">
                  <wp:simplePos x="0" y="0"/>
                  <wp:positionH relativeFrom="column">
                    <wp:posOffset>6186805</wp:posOffset>
                  </wp:positionH>
                  <wp:positionV relativeFrom="paragraph">
                    <wp:posOffset>51435</wp:posOffset>
                  </wp:positionV>
                  <wp:extent cx="3759859" cy="86542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859" cy="86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808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17B6D3" wp14:editId="2B48834E">
                  <wp:simplePos x="0" y="0"/>
                  <wp:positionH relativeFrom="column">
                    <wp:posOffset>3145646</wp:posOffset>
                  </wp:positionH>
                  <wp:positionV relativeFrom="paragraph">
                    <wp:posOffset>58420</wp:posOffset>
                  </wp:positionV>
                  <wp:extent cx="2999842" cy="1022674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42" cy="102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3BA">
              <w:rPr>
                <w:noProof/>
                <w:lang w:eastAsia="en-GB"/>
              </w:rPr>
              <w:drawing>
                <wp:inline distT="0" distB="0" distL="0" distR="0" wp14:anchorId="5E4E8DF6" wp14:editId="0C25A4E0">
                  <wp:extent cx="3079115" cy="1168207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23" cy="117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3DADF" w14:textId="6EE7B6C3" w:rsidR="004372D1" w:rsidRDefault="004372D1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C53AE" w14:textId="004640CF" w:rsidR="00554808" w:rsidRDefault="00554808" w:rsidP="00554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Windmill: There are four </w:t>
            </w:r>
            <w:r w:rsidRPr="0073214B">
              <w:rPr>
                <w:rFonts w:asciiTheme="minorHAnsi" w:hAnsiTheme="minorHAnsi" w:cstheme="minorHAnsi"/>
                <w:sz w:val="22"/>
                <w:szCs w:val="22"/>
              </w:rPr>
              <w:t>childr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within the Year 4 group </w:t>
            </w:r>
            <w:r w:rsidRPr="0073214B">
              <w:rPr>
                <w:rFonts w:asciiTheme="minorHAnsi" w:hAnsiTheme="minorHAnsi" w:cstheme="minorHAnsi"/>
                <w:sz w:val="22"/>
                <w:szCs w:val="22"/>
              </w:rPr>
              <w:t>who attend a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orning group called Rainbow Group, this is led by Michelle Grimshaw</w:t>
            </w:r>
            <w:r w:rsidRPr="0073214B">
              <w:rPr>
                <w:rFonts w:asciiTheme="minorHAnsi" w:hAnsiTheme="minorHAnsi" w:cstheme="minorHAnsi"/>
                <w:sz w:val="22"/>
                <w:szCs w:val="22"/>
              </w:rPr>
              <w:t>. This is a small inten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sive group input which is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very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personalised to the needs of the pupils. They are currently working from the Year 2 maths curriculum and adapting the Year 3 English planning</w:t>
            </w:r>
            <w:r w:rsidRPr="007321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There are also four other pupils who attend Sunshine group (SEND provision) on a morning. This is led by Gabby Mc Dermott and Teaching Assistants. They follow the same planning as the Rainbow group. </w:t>
            </w:r>
            <w:r w:rsidRPr="0073214B">
              <w:rPr>
                <w:rFonts w:asciiTheme="minorHAnsi" w:hAnsiTheme="minorHAnsi" w:cstheme="minorHAnsi"/>
                <w:sz w:val="22"/>
                <w:szCs w:val="22"/>
              </w:rPr>
              <w:t xml:space="preserve">There is a child with significant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social, emotional or mental health (SEMH)</w:t>
            </w:r>
            <w:r w:rsidRPr="0073214B">
              <w:rPr>
                <w:rFonts w:asciiTheme="minorHAnsi" w:hAnsiTheme="minorHAnsi" w:cstheme="minorHAnsi"/>
                <w:sz w:val="22"/>
                <w:szCs w:val="22"/>
              </w:rPr>
              <w:t xml:space="preserve"> needs that has been placed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experienced Year 4 teacher. Currently, there are two ECT’s and an NQT and an RQT teaching in Lower Key</w:t>
            </w:r>
            <w:r w:rsidR="007F1473">
              <w:rPr>
                <w:rFonts w:asciiTheme="minorHAnsi" w:hAnsiTheme="minorHAnsi" w:cstheme="minorHAnsi"/>
                <w:sz w:val="22"/>
                <w:szCs w:val="22"/>
              </w:rPr>
              <w:t xml:space="preserve"> stage 2.</w:t>
            </w:r>
          </w:p>
          <w:p w14:paraId="041A1786" w14:textId="77777777" w:rsidR="00554808" w:rsidRDefault="00554808" w:rsidP="00554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EF159" w14:textId="77777777" w:rsidR="00554808" w:rsidRDefault="00554808" w:rsidP="00554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AA143" w14:textId="051D3EDA" w:rsidR="004372D1" w:rsidRPr="004372D1" w:rsidRDefault="00554808" w:rsidP="004372D1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Low Road: There are two strong teachers in Lower Key Stage 2, both having moved from Windmill.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 xml:space="preserve">There are two pupils in Year 4, who are taught in a small supported group by Mrs Holderness. They are accessing the Year 3 curriculum. </w:t>
            </w:r>
            <w:r w:rsidR="004372D1" w:rsidRPr="004372D1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  <w:p w14:paraId="55C7EC01" w14:textId="436CFADF" w:rsidR="00145ED1" w:rsidRPr="00527EE5" w:rsidRDefault="00145ED1" w:rsidP="00D876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382F15" w14:textId="77777777" w:rsidR="00FB739A" w:rsidRPr="00527EE5" w:rsidRDefault="00FB739A" w:rsidP="00FB73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1"/>
      </w:tblGrid>
      <w:tr w:rsidR="00FB739A" w:rsidRPr="00527EE5" w14:paraId="225B206F" w14:textId="77777777" w:rsidTr="0086003D">
        <w:tc>
          <w:tcPr>
            <w:tcW w:w="1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473323E" w14:textId="77777777" w:rsidR="00FB739A" w:rsidRPr="00527EE5" w:rsidRDefault="00FB739A" w:rsidP="00FA53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Overview of Key Priorities:</w:t>
            </w:r>
          </w:p>
        </w:tc>
      </w:tr>
      <w:tr w:rsidR="00FB739A" w:rsidRPr="00527EE5" w14:paraId="3CCA7753" w14:textId="77777777" w:rsidTr="00FA533B">
        <w:trPr>
          <w:trHeight w:val="1531"/>
        </w:trPr>
        <w:tc>
          <w:tcPr>
            <w:tcW w:w="1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F8E" w14:textId="74628517" w:rsidR="006B5F02" w:rsidRDefault="00F06114" w:rsidP="00D876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increase </w:t>
            </w:r>
            <w:r w:rsidR="009A78C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engagement and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attainment in </w:t>
            </w:r>
            <w:r w:rsidR="009A78C4">
              <w:rPr>
                <w:rFonts w:asciiTheme="minorHAnsi" w:hAnsiTheme="minorHAnsi" w:cstheme="minorHAnsi"/>
                <w:iCs/>
                <w:sz w:val="22"/>
                <w:szCs w:val="22"/>
              </w:rPr>
              <w:t>reading</w:t>
            </w:r>
          </w:p>
          <w:p w14:paraId="10AEDBFB" w14:textId="63004927" w:rsidR="00DE3208" w:rsidRDefault="00DE3208" w:rsidP="00D876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Exit attainment of reading, writing and maths</w:t>
            </w:r>
            <w:r w:rsidR="004372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is at or above end of 2020-21 percentages. This includes the progress and attainment of SEND pupils</w:t>
            </w:r>
          </w:p>
          <w:p w14:paraId="351EC078" w14:textId="34FF3C19" w:rsidR="00F06114" w:rsidRDefault="00F06114" w:rsidP="00D876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have </w:t>
            </w:r>
            <w:r w:rsidR="004372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consistently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excellent behaviour in school</w:t>
            </w:r>
          </w:p>
          <w:p w14:paraId="2D778ECA" w14:textId="77777777" w:rsidR="00DE3208" w:rsidRDefault="00DE3208" w:rsidP="00D876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 ensure the personal development of all pupils</w:t>
            </w:r>
          </w:p>
          <w:p w14:paraId="1DAF640A" w14:textId="786EB96F" w:rsidR="00DE3208" w:rsidRDefault="007F1473" w:rsidP="00D876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DE3208">
              <w:rPr>
                <w:rFonts w:asciiTheme="minorHAnsi" w:hAnsiTheme="minorHAnsi" w:cstheme="minorHAnsi"/>
                <w:iCs/>
                <w:sz w:val="22"/>
                <w:szCs w:val="22"/>
              </w:rPr>
              <w:t>ew practices to develop the curriculum are embedded</w:t>
            </w:r>
          </w:p>
          <w:p w14:paraId="3C62FE81" w14:textId="6C81A736" w:rsidR="00DE3208" w:rsidRPr="00527EE5" w:rsidRDefault="00DE3208" w:rsidP="00D876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Google Classroom is being used effectively</w:t>
            </w:r>
            <w:r w:rsidR="004372D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enrich, extend and promote independent learning. </w:t>
            </w:r>
          </w:p>
        </w:tc>
      </w:tr>
    </w:tbl>
    <w:p w14:paraId="3E508A89" w14:textId="77777777" w:rsidR="00FB739A" w:rsidRPr="00527EE5" w:rsidRDefault="00FB739A" w:rsidP="00FB739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1"/>
      </w:tblGrid>
      <w:tr w:rsidR="00FB739A" w:rsidRPr="00527EE5" w14:paraId="45191A36" w14:textId="77777777" w:rsidTr="0086003D">
        <w:trPr>
          <w:trHeight w:val="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2DF8C60" w14:textId="77777777" w:rsidR="00FB739A" w:rsidRPr="00527EE5" w:rsidRDefault="00FB739A" w:rsidP="00FA53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Proposed Outcomes</w:t>
            </w:r>
          </w:p>
        </w:tc>
      </w:tr>
      <w:tr w:rsidR="00FB739A" w:rsidRPr="00527EE5" w14:paraId="1D63DE72" w14:textId="77777777" w:rsidTr="00FA53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CD4" w14:textId="3310CBC5" w:rsidR="00F06114" w:rsidRDefault="00F06114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will read more regularly at home. </w:t>
            </w:r>
          </w:p>
          <w:p w14:paraId="26660827" w14:textId="7870B8F1" w:rsidR="004372D1" w:rsidRDefault="004372D1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Increased involvement of parents and carers in regard to their child’s reading. </w:t>
            </w:r>
          </w:p>
          <w:p w14:paraId="192C25C5" w14:textId="46E981CF" w:rsidR="00F06114" w:rsidRDefault="00F06114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number of pupils On Track or above increases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that all pupils OT or above and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>a number of pupils who were JB at the end of 20-21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 xml:space="preserve">are all OT or above. </w:t>
            </w:r>
          </w:p>
          <w:p w14:paraId="0725BD2A" w14:textId="7C319F1A" w:rsidR="004372D1" w:rsidRDefault="004372D1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adults are aware of baselines and targets for pupils in their class or group. They provide necessary, appropriate and targeted support for any learner who requires it. </w:t>
            </w:r>
          </w:p>
          <w:p w14:paraId="16B19D6A" w14:textId="41E4C25F" w:rsidR="004372D1" w:rsidRDefault="004372D1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Regular pupil progress meetings ensure all staff are aware of their pupils’ progress and intervention or target pupils or groups are identified and monitored over the half term. </w:t>
            </w:r>
          </w:p>
          <w:p w14:paraId="33E6DF9A" w14:textId="31AE184D" w:rsidR="00F06114" w:rsidRDefault="00F06114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behaviour is excel</w:t>
            </w:r>
            <w:r w:rsidR="003B4A2D">
              <w:rPr>
                <w:rFonts w:asciiTheme="minorHAnsi" w:hAnsiTheme="minorHAnsi" w:cstheme="minorHAnsi"/>
                <w:sz w:val="22"/>
                <w:szCs w:val="22"/>
              </w:rPr>
              <w:t>lent.</w:t>
            </w:r>
          </w:p>
          <w:p w14:paraId="7266D40F" w14:textId="1784DA9E" w:rsidR="00F06114" w:rsidRDefault="00F06114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Pupils feel</w:t>
            </w:r>
            <w:r w:rsidR="009A78C4">
              <w:rPr>
                <w:rFonts w:asciiTheme="minorHAnsi" w:hAnsiTheme="minorHAnsi" w:cstheme="minorHAnsi"/>
                <w:sz w:val="22"/>
                <w:szCs w:val="22"/>
              </w:rPr>
              <w:t xml:space="preserve"> and express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behaviour in their class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 xml:space="preserve"> and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excellent. </w:t>
            </w:r>
          </w:p>
          <w:p w14:paraId="2F98DE10" w14:textId="58695315" w:rsidR="00F06114" w:rsidRDefault="00DE3208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Behaviour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>in areas outside the classroom is excellent. This includes on the playground</w:t>
            </w:r>
            <w:r w:rsidR="009A78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1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487C1C" w14:textId="35735B83" w:rsidR="002041A6" w:rsidRDefault="002041A6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SLT work with all teaching staff to develop pupils in order to prepare them for life. </w:t>
            </w:r>
          </w:p>
          <w:p w14:paraId="258A851C" w14:textId="533E2DDA" w:rsidR="002041A6" w:rsidRDefault="002041A6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Teachers and Teaching Assistants can make an early identification of pupils who may require additional personal support or development intervention. </w:t>
            </w:r>
          </w:p>
          <w:p w14:paraId="3AB3FC42" w14:textId="33D325D9" w:rsidR="00DE3208" w:rsidRDefault="00DE3208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are set aspirational end of year targets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 xml:space="preserve">. All staff work to support and progress pupils to reach their maximum potential. </w:t>
            </w:r>
          </w:p>
          <w:p w14:paraId="795ADE3D" w14:textId="286A2154" w:rsidR="00DE3208" w:rsidRDefault="004372D1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Accelerated</w:t>
            </w:r>
            <w:r w:rsidR="00DE3208">
              <w:rPr>
                <w:rFonts w:asciiTheme="minorHAnsi" w:hAnsiTheme="minorHAnsi" w:cstheme="minorHAnsi"/>
                <w:sz w:val="22"/>
                <w:szCs w:val="22"/>
              </w:rPr>
              <w:t xml:space="preserve"> progress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made by those pupils who are identified for targeted support. </w:t>
            </w:r>
          </w:p>
          <w:p w14:paraId="12A84554" w14:textId="1371D9D7" w:rsidR="00DE3208" w:rsidRDefault="00DE3208" w:rsidP="003D5A53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GD at KS1 are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 xml:space="preserve">identified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targeted </w:t>
            </w:r>
            <w:r w:rsidR="004372D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achieve GD in Lower Key Stage 2. </w:t>
            </w:r>
          </w:p>
          <w:p w14:paraId="4CBAC646" w14:textId="3ACD21A2" w:rsidR="00DC31C8" w:rsidRDefault="002041A6" w:rsidP="004877A6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Subject leaders to carry out deep dives a</w:t>
            </w:r>
            <w:r w:rsidR="004877A6">
              <w:rPr>
                <w:rFonts w:asciiTheme="minorHAnsi" w:hAnsiTheme="minorHAnsi" w:cstheme="minorHAnsi"/>
                <w:sz w:val="22"/>
                <w:szCs w:val="22"/>
              </w:rPr>
              <w:t>nd feed back to</w:t>
            </w:r>
            <w:r w:rsidR="008F233B">
              <w:rPr>
                <w:rFonts w:asciiTheme="minorHAnsi" w:hAnsiTheme="minorHAnsi" w:cstheme="minorHAnsi"/>
                <w:sz w:val="22"/>
                <w:szCs w:val="22"/>
              </w:rPr>
              <w:t xml:space="preserve"> colleagues. Subject leaders and SLT monitor curriculum coverage and content through book and lesson scrutiny.</w:t>
            </w:r>
          </w:p>
          <w:p w14:paraId="1E074932" w14:textId="77777777" w:rsidR="004877A6" w:rsidRDefault="004877A6" w:rsidP="004877A6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Google classroom will be used regularly and effectively by all teachers and pupils. </w:t>
            </w:r>
          </w:p>
          <w:p w14:paraId="36E0B693" w14:textId="77777777" w:rsidR="004877A6" w:rsidRDefault="004877A6" w:rsidP="004877A6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Homework and other tasks set on Google Classroom will promote academic and personal development. </w:t>
            </w:r>
          </w:p>
          <w:p w14:paraId="41B6D05A" w14:textId="65C8FA5E" w:rsidR="008F233B" w:rsidRPr="008F233B" w:rsidRDefault="008F233B" w:rsidP="004877A6">
            <w:pPr>
              <w:pStyle w:val="ListParagraph"/>
              <w:numPr>
                <w:ilvl w:val="0"/>
                <w:numId w:val="6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23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 the event of a lockdown, all pupils will be able to access online lessons.</w:t>
            </w:r>
          </w:p>
        </w:tc>
      </w:tr>
    </w:tbl>
    <w:p w14:paraId="1B597569" w14:textId="77777777" w:rsidR="00FB739A" w:rsidRPr="00527EE5" w:rsidRDefault="00FB739A" w:rsidP="00FB739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7722"/>
        <w:gridCol w:w="1503"/>
        <w:gridCol w:w="1904"/>
        <w:gridCol w:w="1614"/>
      </w:tblGrid>
      <w:tr w:rsidR="0086003D" w:rsidRPr="00527EE5" w14:paraId="1072B3B7" w14:textId="7397D6A9" w:rsidTr="006B5F02">
        <w:trPr>
          <w:trHeight w:val="61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1FA073F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Priority Developments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FF4EE60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269C7B1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Resources &amp; Costs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35DEF06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3DF62145" w14:textId="08D26446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Personnel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B224CC1" w14:textId="77777777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2312FCC5" w14:textId="4DE7682C" w:rsidR="0086003D" w:rsidRPr="00527EE5" w:rsidRDefault="0086003D" w:rsidP="00FA533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27EE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Timescale</w:t>
            </w:r>
          </w:p>
        </w:tc>
      </w:tr>
      <w:tr w:rsidR="00DE3208" w:rsidRPr="00527EE5" w14:paraId="0047E676" w14:textId="71CE6D1B" w:rsidTr="0086003D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A9E" w14:textId="77777777" w:rsidR="00DE3208" w:rsidRPr="009A78C4" w:rsidRDefault="00DE3208" w:rsidP="00DE3208">
            <w:pPr>
              <w:rPr>
                <w:rFonts w:asciiTheme="minorHAnsi" w:hAnsiTheme="minorHAnsi" w:cstheme="minorHAnsi"/>
                <w:b/>
              </w:rPr>
            </w:pPr>
            <w:r w:rsidRPr="009A78C4">
              <w:rPr>
                <w:rFonts w:asciiTheme="minorHAnsi" w:hAnsiTheme="minorHAnsi" w:cstheme="minorHAnsi"/>
                <w:b/>
              </w:rPr>
              <w:t>Quality of Education</w:t>
            </w:r>
          </w:p>
          <w:p w14:paraId="1D7A84A5" w14:textId="1ED46FEB" w:rsidR="00DE3208" w:rsidRPr="00471C92" w:rsidRDefault="00DE3208" w:rsidP="00DE3208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4EA" w14:textId="3C6633F5" w:rsidR="00DE3208" w:rsidRPr="00E16D55" w:rsidRDefault="003B4A2D" w:rsidP="00DE3208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E3208" w:rsidRPr="00E16D55">
              <w:rPr>
                <w:rFonts w:asciiTheme="minorHAnsi" w:hAnsiTheme="minorHAnsi" w:cstheme="minorHAnsi"/>
                <w:sz w:val="22"/>
                <w:szCs w:val="22"/>
              </w:rPr>
              <w:t>lanning</w:t>
            </w:r>
            <w:r w:rsidR="00DE3208">
              <w:rPr>
                <w:rFonts w:asciiTheme="minorHAnsi" w:hAnsiTheme="minorHAnsi" w:cstheme="minorHAnsi"/>
                <w:sz w:val="22"/>
                <w:szCs w:val="22"/>
              </w:rPr>
              <w:t xml:space="preserve"> and teaching</w:t>
            </w:r>
            <w:r w:rsidR="00DE3208" w:rsidRPr="00E16D55">
              <w:rPr>
                <w:rFonts w:asciiTheme="minorHAnsi" w:hAnsiTheme="minorHAnsi" w:cstheme="minorHAnsi"/>
                <w:sz w:val="22"/>
                <w:szCs w:val="22"/>
              </w:rPr>
              <w:t xml:space="preserve"> is consistently good or better.</w:t>
            </w:r>
            <w:r w:rsidR="00DE3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3208" w:rsidRPr="00E16D55">
              <w:rPr>
                <w:rFonts w:asciiTheme="minorHAnsi" w:hAnsiTheme="minorHAnsi" w:cstheme="minorHAnsi"/>
                <w:sz w:val="22"/>
                <w:szCs w:val="22"/>
              </w:rPr>
              <w:t xml:space="preserve">This will be done through: </w:t>
            </w:r>
          </w:p>
          <w:p w14:paraId="56C8D643" w14:textId="0227B3EF" w:rsidR="00DE3208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16D55">
              <w:rPr>
                <w:rFonts w:ascii="Calibri" w:hAnsi="Calibri" w:cs="Tahoma"/>
                <w:sz w:val="22"/>
                <w:szCs w:val="22"/>
              </w:rPr>
              <w:t>Regular book scrutinies and staff meetings t</w:t>
            </w:r>
            <w:r w:rsidR="004F7518">
              <w:rPr>
                <w:rFonts w:ascii="Calibri" w:hAnsi="Calibri" w:cs="Tahoma"/>
                <w:sz w:val="22"/>
                <w:szCs w:val="22"/>
              </w:rPr>
              <w:t>o monitor that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marking, feedback </w:t>
            </w:r>
            <w:r w:rsidRPr="00E16D55">
              <w:rPr>
                <w:rFonts w:ascii="Calibri" w:hAnsi="Calibri" w:cs="Tahoma"/>
                <w:sz w:val="22"/>
                <w:szCs w:val="22"/>
              </w:rPr>
              <w:t>and presentation policies are being adhered to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and are consistent</w:t>
            </w:r>
            <w:r w:rsidRPr="00E16D55">
              <w:rPr>
                <w:rFonts w:ascii="Calibri" w:hAnsi="Calibri" w:cs="Tahoma"/>
                <w:sz w:val="22"/>
                <w:szCs w:val="22"/>
              </w:rPr>
              <w:t xml:space="preserve"> across phase. </w:t>
            </w:r>
          </w:p>
          <w:p w14:paraId="71D0BFB3" w14:textId="03E211EE" w:rsidR="00DE3208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22795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  <w:r w:rsidR="004F7518">
              <w:rPr>
                <w:rFonts w:asciiTheme="minorHAnsi" w:hAnsiTheme="minorHAnsi" w:cstheme="minorHAnsi"/>
                <w:sz w:val="22"/>
                <w:szCs w:val="22"/>
              </w:rPr>
              <w:t>ing of children’s work to check that</w:t>
            </w:r>
            <w:r w:rsidRPr="00522795">
              <w:rPr>
                <w:rFonts w:asciiTheme="minorHAnsi" w:hAnsiTheme="minorHAnsi" w:cstheme="minorHAnsi"/>
                <w:sz w:val="22"/>
                <w:szCs w:val="22"/>
              </w:rPr>
              <w:t xml:space="preserve"> appropriate strategies are used to meet the needs of all learners.</w:t>
            </w:r>
          </w:p>
          <w:p w14:paraId="70571D6D" w14:textId="3A3A77D7" w:rsidR="00DE3208" w:rsidRDefault="00043F33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E3208" w:rsidRPr="00522795">
              <w:rPr>
                <w:rFonts w:asciiTheme="minorHAnsi" w:hAnsiTheme="minorHAnsi" w:cstheme="minorHAnsi"/>
                <w:sz w:val="22"/>
                <w:szCs w:val="22"/>
              </w:rPr>
              <w:t>lanning is tailored to the specific needs of the class throug</w:t>
            </w:r>
            <w:r w:rsidR="00DE3208">
              <w:rPr>
                <w:rFonts w:asciiTheme="minorHAnsi" w:hAnsiTheme="minorHAnsi" w:cstheme="minorHAnsi"/>
                <w:sz w:val="22"/>
                <w:szCs w:val="22"/>
              </w:rPr>
              <w:t xml:space="preserve">h planning scrutiny, drop-ins </w:t>
            </w:r>
            <w:r w:rsidR="00DE3208" w:rsidRPr="00522795">
              <w:rPr>
                <w:rFonts w:asciiTheme="minorHAnsi" w:hAnsiTheme="minorHAnsi" w:cstheme="minorHAnsi"/>
                <w:sz w:val="22"/>
                <w:szCs w:val="22"/>
              </w:rPr>
              <w:t xml:space="preserve">and lesson observations. </w:t>
            </w:r>
          </w:p>
          <w:p w14:paraId="5910D1E9" w14:textId="3362AE5F" w:rsidR="00DE3208" w:rsidRDefault="004877A6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Holding a weekly planning meeting in which the year group team will discuss their medium and short term lessons, sharing good practice and mentoring less experienced staff. </w:t>
            </w:r>
          </w:p>
          <w:p w14:paraId="7551C676" w14:textId="77777777" w:rsidR="00DE3208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22795">
              <w:rPr>
                <w:rFonts w:ascii="Calibri" w:hAnsi="Calibri" w:cs="Tahoma"/>
                <w:sz w:val="22"/>
                <w:szCs w:val="22"/>
              </w:rPr>
              <w:t xml:space="preserve">Support new and current staff for planning and delivery of good and outstanding lessons. </w:t>
            </w:r>
          </w:p>
          <w:p w14:paraId="378944C5" w14:textId="5FFC058D" w:rsidR="00DE3208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22795">
              <w:rPr>
                <w:rFonts w:ascii="Calibri" w:hAnsi="Calibri" w:cs="Tahoma"/>
                <w:sz w:val="22"/>
                <w:szCs w:val="22"/>
              </w:rPr>
              <w:t xml:space="preserve">Rising Stars and Hamilton Trust are being used to inform </w:t>
            </w:r>
            <w:r w:rsidR="00043F33">
              <w:rPr>
                <w:rFonts w:ascii="Calibri" w:hAnsi="Calibri" w:cs="Tahoma"/>
                <w:sz w:val="22"/>
                <w:szCs w:val="22"/>
              </w:rPr>
              <w:t xml:space="preserve">dynamic </w:t>
            </w:r>
            <w:r w:rsidRPr="00522795">
              <w:rPr>
                <w:rFonts w:ascii="Calibri" w:hAnsi="Calibri" w:cs="Tahoma"/>
                <w:sz w:val="22"/>
                <w:szCs w:val="22"/>
              </w:rPr>
              <w:t>planning in Foundation subjects.</w:t>
            </w:r>
          </w:p>
          <w:p w14:paraId="70FEF8BD" w14:textId="77777777" w:rsidR="00043F33" w:rsidRPr="00043F33" w:rsidRDefault="00043F33" w:rsidP="00043F33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The m</w:t>
            </w:r>
            <w:r w:rsidR="00DE3208" w:rsidRPr="00522795">
              <w:rPr>
                <w:rFonts w:ascii="Calibri" w:hAnsi="Calibri" w:cs="Tahoma"/>
                <w:sz w:val="22"/>
                <w:szCs w:val="22"/>
              </w:rPr>
              <w:t>astery approach is well embedded in Mathematics.</w:t>
            </w:r>
          </w:p>
          <w:p w14:paraId="55852E4E" w14:textId="77777777" w:rsidR="00043F33" w:rsidRPr="00043F33" w:rsidRDefault="00043F33" w:rsidP="00043F33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E3208" w:rsidRPr="00043F33">
              <w:rPr>
                <w:rFonts w:ascii="Calibri" w:hAnsi="Calibri" w:cs="Tahoma"/>
                <w:sz w:val="22"/>
                <w:szCs w:val="22"/>
              </w:rPr>
              <w:t>earning environments support and inspire learners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. </w:t>
            </w:r>
          </w:p>
          <w:p w14:paraId="4D0E2303" w14:textId="62FA5BB7" w:rsidR="00DE3208" w:rsidRPr="00043F33" w:rsidRDefault="00043F33" w:rsidP="00043F33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</w:t>
            </w:r>
            <w:r w:rsidR="00DE3208" w:rsidRPr="00043F33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  <w:r w:rsidRPr="00043F33">
              <w:rPr>
                <w:rFonts w:asciiTheme="minorHAnsi" w:hAnsiTheme="minorHAnsi" w:cstheme="minorHAnsi"/>
                <w:sz w:val="22"/>
                <w:szCs w:val="22"/>
              </w:rPr>
              <w:t>rong emphasis is</w:t>
            </w:r>
            <w:r w:rsidR="00DE3208" w:rsidRPr="00043F33">
              <w:rPr>
                <w:rFonts w:asciiTheme="minorHAnsi" w:hAnsiTheme="minorHAnsi" w:cstheme="minorHAnsi"/>
                <w:sz w:val="22"/>
                <w:szCs w:val="22"/>
              </w:rPr>
              <w:t xml:space="preserve"> put on s</w:t>
            </w:r>
            <w:r w:rsidR="004F7518">
              <w:rPr>
                <w:rFonts w:asciiTheme="minorHAnsi" w:hAnsiTheme="minorHAnsi" w:cstheme="minorHAnsi"/>
                <w:sz w:val="22"/>
                <w:szCs w:val="22"/>
              </w:rPr>
              <w:t>pelling and handwriting so that</w:t>
            </w:r>
            <w:r w:rsidR="00DE3208" w:rsidRPr="00043F33">
              <w:rPr>
                <w:rFonts w:asciiTheme="minorHAnsi" w:hAnsiTheme="minorHAnsi" w:cstheme="minorHAnsi"/>
                <w:sz w:val="22"/>
                <w:szCs w:val="22"/>
              </w:rPr>
              <w:t xml:space="preserve"> children achieve ARE. </w:t>
            </w:r>
          </w:p>
          <w:p w14:paraId="3261F758" w14:textId="77777777" w:rsidR="00DE3208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22795">
              <w:rPr>
                <w:rFonts w:asciiTheme="minorHAnsi" w:hAnsiTheme="minorHAnsi" w:cstheme="minorHAnsi"/>
                <w:sz w:val="22"/>
                <w:szCs w:val="22"/>
              </w:rPr>
              <w:t xml:space="preserve">Arrange peer observations to share good practice. </w:t>
            </w:r>
          </w:p>
          <w:p w14:paraId="735AA8DB" w14:textId="72F1EA61" w:rsidR="00DE3208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522795">
              <w:rPr>
                <w:rFonts w:asciiTheme="minorHAnsi" w:hAnsiTheme="minorHAnsi" w:cstheme="minorHAnsi"/>
                <w:sz w:val="22"/>
                <w:szCs w:val="22"/>
              </w:rPr>
              <w:t>Observe and monitor the use of TAs in classrooms, ensuring that they are aware of curriculum requirements and are regularly informed of the expected outcomes of the child</w:t>
            </w:r>
            <w:r w:rsidR="004877A6">
              <w:rPr>
                <w:rFonts w:asciiTheme="minorHAnsi" w:hAnsiTheme="minorHAnsi" w:cstheme="minorHAnsi"/>
                <w:sz w:val="22"/>
                <w:szCs w:val="22"/>
              </w:rPr>
              <w:t xml:space="preserve">ren that they are working with including SEND pupils and their personal learning targets. </w:t>
            </w:r>
          </w:p>
          <w:p w14:paraId="780CDB1B" w14:textId="27AED50C" w:rsidR="00DE3208" w:rsidRPr="00522795" w:rsidRDefault="00DE3208" w:rsidP="00DE3208">
            <w:pPr>
              <w:pStyle w:val="Default0"/>
              <w:numPr>
                <w:ilvl w:val="0"/>
                <w:numId w:val="8"/>
              </w:numPr>
              <w:ind w:left="384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Pr="00522795">
              <w:rPr>
                <w:rFonts w:asciiTheme="minorHAnsi" w:hAnsiTheme="minorHAnsi" w:cstheme="minorHAnsi"/>
                <w:sz w:val="22"/>
                <w:szCs w:val="22"/>
              </w:rPr>
              <w:t>training and development</w:t>
            </w:r>
            <w:r w:rsidR="004877A6">
              <w:rPr>
                <w:rFonts w:asciiTheme="minorHAnsi" w:hAnsiTheme="minorHAnsi" w:cstheme="minorHAnsi"/>
                <w:sz w:val="22"/>
                <w:szCs w:val="22"/>
              </w:rPr>
              <w:t xml:space="preserve"> for Teaching Assistants</w:t>
            </w:r>
            <w:r w:rsidRPr="005227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16FC03" w14:textId="303EFE93" w:rsidR="00DE3208" w:rsidRPr="00DE3208" w:rsidRDefault="00DE3208" w:rsidP="00DE32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9C2" w14:textId="7BB9110F" w:rsidR="00DE3208" w:rsidRPr="00471C92" w:rsidRDefault="00DE3208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FDC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SLT, Class Teachers and all support staff. </w:t>
            </w:r>
          </w:p>
          <w:p w14:paraId="68517437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67DFD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3532A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8BBC2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AE890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E7313" w14:textId="77777777" w:rsidR="009A78C4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BDB7D" w14:textId="2688E74E" w:rsidR="009A78C4" w:rsidRPr="00471C92" w:rsidRDefault="009A78C4" w:rsidP="009A78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B3C" w14:textId="2F30F8F9" w:rsidR="009A78C4" w:rsidRPr="00471C92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E3208" w:rsidRPr="009A78C4" w14:paraId="2C30AE72" w14:textId="0D81CB2E" w:rsidTr="0086003D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614A" w14:textId="77E15D34" w:rsidR="00DE3208" w:rsidRPr="009A78C4" w:rsidRDefault="00DE3208" w:rsidP="00DE3208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A78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Behaviour and Attitudes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D2B" w14:textId="43322B3D" w:rsidR="009A78C4" w:rsidRPr="009A78C4" w:rsidRDefault="00043F33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lear routines in the school and classroom</w:t>
            </w:r>
          </w:p>
          <w:p w14:paraId="768C0309" w14:textId="2BF5DD3A" w:rsidR="009A78C4" w:rsidRPr="009A78C4" w:rsidRDefault="009A78C4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Maintaining a strong focus on attendance and punctuality, including clear and effective attendance policies that all staff apply consistently and fairly</w:t>
            </w:r>
          </w:p>
          <w:p w14:paraId="745D56FE" w14:textId="19D904BC" w:rsidR="009A78C4" w:rsidRPr="009A78C4" w:rsidRDefault="003B4A2D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ll pupils are enjoying and developing their commitment to learning, enhancing their independent study skills and ensuring a ‘growth mindset’ which incorporates being resilient to setbacks and taking pride in their achievements. </w:t>
            </w:r>
          </w:p>
          <w:p w14:paraId="3BDF4FAD" w14:textId="4BFF8437" w:rsidR="009A78C4" w:rsidRPr="009A78C4" w:rsidRDefault="00926DBD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Adults make sure that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all pupils feel safe in school and address any concerns they may have through discussion. Provide a worry box for pup</w:t>
            </w:r>
            <w:r w:rsidR="004F7518">
              <w:rPr>
                <w:rFonts w:asciiTheme="minorHAnsi" w:hAnsiTheme="minorHAnsi" w:cstheme="minorHAnsi"/>
                <w:sz w:val="22"/>
                <w:szCs w:val="22"/>
              </w:rPr>
              <w:t>ils to post a note into. ‘A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dults who can help me’ poster</w:t>
            </w:r>
            <w:r w:rsidR="004F7518">
              <w:rPr>
                <w:rFonts w:asciiTheme="minorHAnsi" w:hAnsiTheme="minorHAnsi" w:cstheme="minorHAnsi"/>
                <w:sz w:val="22"/>
                <w:szCs w:val="22"/>
              </w:rPr>
              <w:t>s are displayed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in the classroom and cloakroom environments. </w:t>
            </w:r>
          </w:p>
          <w:p w14:paraId="01006E01" w14:textId="4867436C" w:rsidR="009A78C4" w:rsidRPr="009A78C4" w:rsidRDefault="009A78C4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Through class PSHE lessons and at all other times of the day, relationships between teachers and pupils that reflect a positive and respectful culture. </w:t>
            </w:r>
          </w:p>
          <w:p w14:paraId="0888BACA" w14:textId="592926E1" w:rsidR="009A78C4" w:rsidRPr="009A78C4" w:rsidRDefault="009A78C4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Adopt the zero tolerance for bullying, discrimination, sexual harassment, sexual abuse and sexual violence approach. Participate in anti-bullying week and regularly re-visit this topic for discussion within class time. </w:t>
            </w:r>
          </w:p>
          <w:p w14:paraId="1AC57E13" w14:textId="7400FCE6" w:rsidR="009A78C4" w:rsidRPr="009A78C4" w:rsidRDefault="00043F33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ll staff are familiar with the anti-bullying policy and that it is being adhered to. </w:t>
            </w:r>
          </w:p>
          <w:p w14:paraId="2AF58DE7" w14:textId="09DD63BD" w:rsidR="00DE3208" w:rsidRPr="009A78C4" w:rsidRDefault="009A78C4" w:rsidP="009A78C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Staff to deal with issues quickly, consistently and effectively (whenever they occur)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DBA" w14:textId="2470288F" w:rsidR="00DE3208" w:rsidRPr="009A78C4" w:rsidRDefault="00DE3208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7DD" w14:textId="515E7C8F" w:rsidR="00DE3208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Class Teachers, Support Staff and SLT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7E5" w14:textId="59ABCB74" w:rsidR="00DE3208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E3208" w:rsidRPr="009A78C4" w14:paraId="34475F47" w14:textId="3F0AA145" w:rsidTr="0086003D">
        <w:trPr>
          <w:trHeight w:val="7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2BE" w14:textId="3A2DC4AE" w:rsidR="00DE3208" w:rsidRPr="009A78C4" w:rsidRDefault="00DE3208" w:rsidP="00DE3208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A78C4">
              <w:rPr>
                <w:rFonts w:asciiTheme="minorHAnsi" w:hAnsiTheme="minorHAnsi" w:cstheme="minorHAnsi"/>
                <w:b/>
                <w:sz w:val="22"/>
                <w:szCs w:val="22"/>
              </w:rPr>
              <w:t>Personal Development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F83" w14:textId="5DB9786E" w:rsidR="00DE3208" w:rsidRPr="009A78C4" w:rsidRDefault="009A78C4" w:rsidP="009A78C4">
            <w:pPr>
              <w:pStyle w:val="ListParagraph"/>
              <w:numPr>
                <w:ilvl w:val="0"/>
                <w:numId w:val="3"/>
              </w:numPr>
              <w:ind w:left="39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>hase staff and SLT work together to prepa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re learners for life in modern B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>ritain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so that pupils are responsible, respectful and active citizens who are able to play their part and become actively involved in public life as adults. </w:t>
            </w:r>
          </w:p>
          <w:p w14:paraId="5183CA2B" w14:textId="1BACC0DB" w:rsidR="009A78C4" w:rsidRPr="009A78C4" w:rsidRDefault="004F7518" w:rsidP="009A78C4">
            <w:pPr>
              <w:pStyle w:val="ListParagraph"/>
              <w:numPr>
                <w:ilvl w:val="0"/>
                <w:numId w:val="3"/>
              </w:numPr>
              <w:ind w:left="39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develop positive personal traits, 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reflec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wisely and 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pupils’ confidence, resilience and knowledge means they can 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ep themselves mentally healthy through the carefully planned and delivered PSHE sessions. 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For some pupils</w:t>
            </w:r>
            <w:r w:rsidR="003B4A2D">
              <w:rPr>
                <w:rFonts w:asciiTheme="minorHAnsi" w:hAnsiTheme="minorHAnsi" w:cstheme="minorHAnsi"/>
                <w:sz w:val="22"/>
                <w:szCs w:val="22"/>
              </w:rPr>
              <w:t>, there will be an identified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need for additional intervention such as nurture group or a referral for cluster support. </w:t>
            </w:r>
          </w:p>
          <w:p w14:paraId="0A35BF0A" w14:textId="23706AC1" w:rsidR="009A78C4" w:rsidRPr="009A78C4" w:rsidRDefault="009A78C4" w:rsidP="009A78C4">
            <w:pPr>
              <w:pStyle w:val="ListParagraph"/>
              <w:numPr>
                <w:ilvl w:val="0"/>
                <w:numId w:val="3"/>
              </w:numPr>
              <w:ind w:left="39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Teachers and SLT will consider carefully the time and age appropriateness of SRE sessions, taking into account the pupils in each cohort. </w:t>
            </w:r>
          </w:p>
          <w:p w14:paraId="2ABC42B5" w14:textId="7E813013" w:rsidR="009A78C4" w:rsidRPr="009A78C4" w:rsidRDefault="004F7518" w:rsidP="009A78C4">
            <w:pPr>
              <w:pStyle w:val="ListParagraph"/>
              <w:numPr>
                <w:ilvl w:val="0"/>
                <w:numId w:val="3"/>
              </w:numPr>
              <w:ind w:left="39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very pupil has an understanding of online and offline risks and pupils will be aware of the support available to them. </w:t>
            </w:r>
          </w:p>
          <w:p w14:paraId="777E36F4" w14:textId="323CE2BC" w:rsidR="009A78C4" w:rsidRPr="009A78C4" w:rsidRDefault="009A78C4" w:rsidP="009A78C4">
            <w:pPr>
              <w:pStyle w:val="ListParagraph"/>
              <w:ind w:left="39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8A9" w14:textId="7DD0C8BE" w:rsidR="00DE3208" w:rsidRPr="009A78C4" w:rsidRDefault="00DE3208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949" w14:textId="7E0C63BA" w:rsidR="00DE3208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Class Teachers, support staff, SLT including Safeguarding and nurture staff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F2F" w14:textId="2D6AA623" w:rsidR="00DE3208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E3208" w:rsidRPr="009A78C4" w14:paraId="20033129" w14:textId="77777777" w:rsidTr="0086003D">
        <w:trPr>
          <w:trHeight w:val="76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3B3" w14:textId="77777777" w:rsidR="00DE3208" w:rsidRPr="009A78C4" w:rsidRDefault="00DE3208" w:rsidP="00DE3208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Leadership and Management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8FE859" w14:textId="2F807FEC" w:rsidR="00DE3208" w:rsidRPr="009A78C4" w:rsidRDefault="00DE3208" w:rsidP="00DE3208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D00" w14:textId="66A41C6F" w:rsidR="009A78C4" w:rsidRPr="009A78C4" w:rsidRDefault="00DE3208" w:rsidP="009A78C4">
            <w:pPr>
              <w:pStyle w:val="Default0"/>
              <w:numPr>
                <w:ilvl w:val="0"/>
                <w:numId w:val="1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SLT enable staff to engage effectively with learners and others in the community including parents a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nd carers. </w:t>
            </w:r>
          </w:p>
          <w:p w14:paraId="2FE9402C" w14:textId="01C273E5" w:rsidR="00DE3208" w:rsidRPr="009A78C4" w:rsidRDefault="00DE3208" w:rsidP="009A78C4">
            <w:pPr>
              <w:pStyle w:val="Default0"/>
              <w:numPr>
                <w:ilvl w:val="0"/>
                <w:numId w:val="1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Promote safeguarding enabling the phase to effectively identify pupils who may need early help. </w:t>
            </w:r>
          </w:p>
          <w:p w14:paraId="7ECF180A" w14:textId="77777777" w:rsidR="00DE3208" w:rsidRPr="009A78C4" w:rsidRDefault="00DE3208" w:rsidP="009A78C4">
            <w:pPr>
              <w:pStyle w:val="Default0"/>
              <w:numPr>
                <w:ilvl w:val="0"/>
                <w:numId w:val="3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SLT to identify CPD needs for the phase. </w:t>
            </w:r>
          </w:p>
          <w:p w14:paraId="47F999F9" w14:textId="073885C8" w:rsidR="00DE3208" w:rsidRPr="009A78C4" w:rsidRDefault="00DE3208" w:rsidP="009A78C4">
            <w:pPr>
              <w:pStyle w:val="Default0"/>
              <w:numPr>
                <w:ilvl w:val="0"/>
                <w:numId w:val="3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Continue to de</w:t>
            </w:r>
            <w:r w:rsidR="004F7518">
              <w:rPr>
                <w:rFonts w:asciiTheme="minorHAnsi" w:hAnsiTheme="minorHAnsi" w:cstheme="minorHAnsi"/>
                <w:sz w:val="22"/>
                <w:szCs w:val="22"/>
              </w:rPr>
              <w:t>velop team ethos ensuring that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ECTs, NQTs and RQTs have a clear idea of school policies and practice. </w:t>
            </w:r>
          </w:p>
          <w:p w14:paraId="4D94CD75" w14:textId="145466DE" w:rsidR="00DE3208" w:rsidRPr="009A78C4" w:rsidRDefault="00DE3208" w:rsidP="009A78C4">
            <w:pPr>
              <w:pStyle w:val="Default0"/>
              <w:numPr>
                <w:ilvl w:val="0"/>
                <w:numId w:val="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Encourage more experienced teachers to use their skill set to mentor </w:t>
            </w:r>
            <w:proofErr w:type="gramStart"/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NQTs ,</w:t>
            </w:r>
            <w:proofErr w:type="gramEnd"/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ECTs and RQTs wherever possible.</w:t>
            </w:r>
          </w:p>
          <w:p w14:paraId="04FB0860" w14:textId="09FC0027" w:rsidR="00DE3208" w:rsidRPr="009A78C4" w:rsidRDefault="00DE3208" w:rsidP="009A78C4">
            <w:pPr>
              <w:pStyle w:val="Default0"/>
              <w:numPr>
                <w:ilvl w:val="0"/>
                <w:numId w:val="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More experienced teachers to become ECT </w:t>
            </w:r>
            <w:r w:rsidR="003B4A2D">
              <w:rPr>
                <w:rFonts w:asciiTheme="minorHAnsi" w:hAnsiTheme="minorHAnsi" w:cstheme="minorHAnsi"/>
                <w:sz w:val="22"/>
                <w:szCs w:val="22"/>
              </w:rPr>
              <w:t>or P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eer </w:t>
            </w:r>
            <w:r w:rsidR="003B4A2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entors. </w:t>
            </w:r>
          </w:p>
          <w:p w14:paraId="609ADFD6" w14:textId="4E033B8F" w:rsidR="00DE3208" w:rsidRPr="009A78C4" w:rsidRDefault="00DE3208" w:rsidP="009A78C4">
            <w:pPr>
              <w:pStyle w:val="Default0"/>
              <w:numPr>
                <w:ilvl w:val="0"/>
                <w:numId w:val="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Support new teachers in the use of Arbor for daily tasks, formative and summative tracking and assessment. </w:t>
            </w:r>
          </w:p>
          <w:p w14:paraId="308A08E2" w14:textId="001A213C" w:rsidR="00DE3208" w:rsidRPr="009A78C4" w:rsidRDefault="00DE3208" w:rsidP="009A78C4">
            <w:pPr>
              <w:pStyle w:val="Default0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 Hold regular planning meetings (virtual and face to face) to both pass on relevant information and to share good practice and outcomes. </w:t>
            </w:r>
          </w:p>
          <w:p w14:paraId="3A838E68" w14:textId="15E80377" w:rsidR="00DE3208" w:rsidRPr="009A78C4" w:rsidRDefault="00DE3208" w:rsidP="009A78C4">
            <w:pPr>
              <w:pStyle w:val="Default0"/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Develop staff through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dialogue, coaching, mentoring and support. </w:t>
            </w:r>
          </w:p>
          <w:p w14:paraId="0FE99DC4" w14:textId="2EECC740" w:rsidR="00DE3208" w:rsidRPr="009A78C4" w:rsidRDefault="004F7518" w:rsidP="009A78C4">
            <w:pPr>
              <w:pStyle w:val="Default0"/>
              <w:numPr>
                <w:ilvl w:val="0"/>
                <w:numId w:val="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>lassroom teaching, learning environments and work books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 consistently good or better. This is identified through regular monitoring of books and lesson observations or drop-ins. </w:t>
            </w:r>
          </w:p>
          <w:p w14:paraId="6B9553DC" w14:textId="1BECCF02" w:rsidR="00DE3208" w:rsidRPr="009A78C4" w:rsidRDefault="004F7518" w:rsidP="009A78C4">
            <w:pPr>
              <w:pStyle w:val="Default0"/>
              <w:numPr>
                <w:ilvl w:val="0"/>
                <w:numId w:val="7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staff 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>applying the marking and presentation policy correctly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when required. </w:t>
            </w:r>
          </w:p>
          <w:p w14:paraId="6C00DB15" w14:textId="1CAC5DFB" w:rsidR="00DE3208" w:rsidRPr="009A78C4" w:rsidRDefault="004F7518" w:rsidP="009A78C4">
            <w:pPr>
              <w:pStyle w:val="Default0"/>
              <w:numPr>
                <w:ilvl w:val="0"/>
                <w:numId w:val="9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>taff are supported in responding to feedback given by SLT after book monitoring.</w:t>
            </w:r>
          </w:p>
          <w:p w14:paraId="77E1B281" w14:textId="7E9FC1BB" w:rsidR="00DE3208" w:rsidRPr="009A78C4" w:rsidRDefault="009A78C4" w:rsidP="009A78C4">
            <w:pPr>
              <w:pStyle w:val="Default0"/>
              <w:numPr>
                <w:ilvl w:val="0"/>
                <w:numId w:val="9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LKS2 Phase Leader to w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ork closely with KS1 and UKS2 leaders to ensure that 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standards including the 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marking policy 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consistent throughout the Federation. </w:t>
            </w:r>
          </w:p>
          <w:p w14:paraId="288A0510" w14:textId="77777777" w:rsidR="00DE3208" w:rsidRPr="009A78C4" w:rsidRDefault="00DE3208" w:rsidP="009A78C4">
            <w:pPr>
              <w:pStyle w:val="Default0"/>
              <w:numPr>
                <w:ilvl w:val="0"/>
                <w:numId w:val="9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To support teachers to create an intervention timetable for targeted groups of children in order to close the gap towards national expectations. </w:t>
            </w:r>
          </w:p>
          <w:p w14:paraId="51F0F693" w14:textId="792F21F0" w:rsidR="00DE3208" w:rsidRPr="009A78C4" w:rsidRDefault="004F7518" w:rsidP="009A78C4">
            <w:pPr>
              <w:pStyle w:val="Default0"/>
              <w:numPr>
                <w:ilvl w:val="0"/>
                <w:numId w:val="9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Teachers have a detailed awareness of the progress and needs of pupils in their class and group. 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305559" w14:textId="3D4DF1C9" w:rsidR="00DE3208" w:rsidRPr="009A78C4" w:rsidRDefault="009A78C4" w:rsidP="009A78C4">
            <w:pPr>
              <w:pStyle w:val="Default0"/>
              <w:numPr>
                <w:ilvl w:val="0"/>
                <w:numId w:val="9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Hold regular 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pupil progress meetings with class teachers and 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the assessment l</w:t>
            </w:r>
            <w:r w:rsidR="00DE3208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eader to identify and prove pupil progress as well as identify pupils that need targeted intervention. </w:t>
            </w:r>
          </w:p>
          <w:p w14:paraId="6D46F90B" w14:textId="4E5C0B49" w:rsidR="00DE3208" w:rsidRPr="009A78C4" w:rsidRDefault="00DE3208" w:rsidP="009A78C4">
            <w:pPr>
              <w:pStyle w:val="Default0"/>
              <w:numPr>
                <w:ilvl w:val="0"/>
                <w:numId w:val="8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 closely with Maths and English leaders (L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. Galinsky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and R. Ev</w:t>
            </w:r>
            <w:r w:rsidR="003B4A2D">
              <w:rPr>
                <w:rFonts w:asciiTheme="minorHAnsi" w:hAnsiTheme="minorHAnsi" w:cstheme="minorHAnsi"/>
                <w:sz w:val="22"/>
                <w:szCs w:val="22"/>
              </w:rPr>
              <w:t>ans) to monitor pupil outcomes.</w:t>
            </w:r>
          </w:p>
          <w:p w14:paraId="56CD004C" w14:textId="03771197" w:rsidR="00DE3208" w:rsidRPr="009A78C4" w:rsidRDefault="00DE3208" w:rsidP="009A78C4">
            <w:pPr>
              <w:pStyle w:val="Default0"/>
              <w:numPr>
                <w:ilvl w:val="0"/>
                <w:numId w:val="9"/>
              </w:numPr>
              <w:ind w:left="3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Work 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>alongside NQT mentor, Rachael Troughton,</w:t>
            </w: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 to support the new to Federation teachers with teaching and learning, classroom environ</w:t>
            </w:r>
            <w:r w:rsidR="009A78C4" w:rsidRPr="009A78C4">
              <w:rPr>
                <w:rFonts w:asciiTheme="minorHAnsi" w:hAnsiTheme="minorHAnsi" w:cstheme="minorHAnsi"/>
                <w:sz w:val="22"/>
                <w:szCs w:val="22"/>
              </w:rPr>
              <w:t xml:space="preserve">ment, behaviour management and their ECT induction tasks. </w:t>
            </w:r>
            <w:bookmarkStart w:id="0" w:name="_GoBack"/>
            <w:bookmarkEnd w:id="0"/>
          </w:p>
          <w:p w14:paraId="41D154BB" w14:textId="0809A6BA" w:rsidR="00DE3208" w:rsidRPr="009A78C4" w:rsidRDefault="00DE3208" w:rsidP="009A78C4">
            <w:pPr>
              <w:ind w:left="398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ED5" w14:textId="77777777" w:rsidR="00DE3208" w:rsidRPr="009A78C4" w:rsidRDefault="00DE3208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2F7" w14:textId="77777777" w:rsidR="00DE3208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SLT</w:t>
            </w:r>
          </w:p>
          <w:p w14:paraId="12AC6132" w14:textId="77777777" w:rsidR="009A78C4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Subject Leaders</w:t>
            </w:r>
          </w:p>
          <w:p w14:paraId="6DBEBD22" w14:textId="0E7D92B6" w:rsidR="009A78C4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Phase/ Team Leaders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48D" w14:textId="08A1A019" w:rsidR="00DE3208" w:rsidRPr="009A78C4" w:rsidRDefault="009A78C4" w:rsidP="00DE32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8C4"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</w:tbl>
    <w:p w14:paraId="75B781EC" w14:textId="77777777" w:rsidR="000C4610" w:rsidRPr="009A78C4" w:rsidRDefault="000C4610" w:rsidP="004333F4">
      <w:pPr>
        <w:tabs>
          <w:tab w:val="left" w:pos="2265"/>
        </w:tabs>
        <w:rPr>
          <w:rFonts w:asciiTheme="minorHAnsi" w:hAnsiTheme="minorHAnsi" w:cstheme="minorHAnsi"/>
          <w:sz w:val="22"/>
          <w:szCs w:val="22"/>
        </w:rPr>
      </w:pPr>
    </w:p>
    <w:sectPr w:rsidR="000C4610" w:rsidRPr="009A78C4" w:rsidSect="001864B2">
      <w:headerReference w:type="default" r:id="rId14"/>
      <w:footerReference w:type="default" r:id="rId15"/>
      <w:pgSz w:w="16839" w:h="11907" w:orient="landscape" w:code="9"/>
      <w:pgMar w:top="454" w:right="454" w:bottom="454" w:left="454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1A32" w14:textId="77777777" w:rsidR="00145901" w:rsidRPr="00785559" w:rsidRDefault="00145901">
      <w:pPr>
        <w:rPr>
          <w:sz w:val="23"/>
          <w:szCs w:val="23"/>
        </w:rPr>
      </w:pPr>
      <w:r w:rsidRPr="00785559">
        <w:rPr>
          <w:sz w:val="23"/>
          <w:szCs w:val="23"/>
        </w:rPr>
        <w:separator/>
      </w:r>
    </w:p>
  </w:endnote>
  <w:endnote w:type="continuationSeparator" w:id="0">
    <w:p w14:paraId="7987D678" w14:textId="77777777" w:rsidR="00145901" w:rsidRPr="00785559" w:rsidRDefault="00145901">
      <w:pPr>
        <w:rPr>
          <w:sz w:val="23"/>
          <w:szCs w:val="23"/>
        </w:rPr>
      </w:pPr>
      <w:r w:rsidRPr="0078555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2F98" w14:textId="77777777" w:rsidR="00145901" w:rsidRPr="00785559" w:rsidRDefault="00145901">
    <w:pPr>
      <w:pStyle w:val="Footer"/>
      <w:rPr>
        <w:sz w:val="23"/>
        <w:szCs w:val="23"/>
      </w:rPr>
    </w:pPr>
    <w:r>
      <w:rPr>
        <w:noProof/>
        <w:sz w:val="19"/>
        <w:szCs w:val="19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7C5935" wp14:editId="25770D5D">
              <wp:simplePos x="0" y="0"/>
              <wp:positionH relativeFrom="page">
                <wp:posOffset>2072640</wp:posOffset>
              </wp:positionH>
              <wp:positionV relativeFrom="margin">
                <wp:posOffset>5875655</wp:posOffset>
              </wp:positionV>
              <wp:extent cx="6740525" cy="504825"/>
              <wp:effectExtent l="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05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CD830" w14:textId="77777777" w:rsidR="00145901" w:rsidRDefault="00145901" w:rsidP="00892FB9">
                          <w:pPr>
                            <w:pStyle w:val="Default0"/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3CAEB46E" w14:textId="77777777" w:rsidR="00145901" w:rsidRDefault="00145901" w:rsidP="00EF2AB8">
                          <w:pPr>
                            <w:pStyle w:val="Default0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6"/>
                            </w:rPr>
                            <w:t>Excellence through effort and aspiration</w:t>
                          </w:r>
                        </w:p>
                        <w:p w14:paraId="154CB7B4" w14:textId="77777777" w:rsidR="00145901" w:rsidRPr="00EF2AB8" w:rsidRDefault="00145901" w:rsidP="00EF2AB8">
                          <w:pPr>
                            <w:pStyle w:val="Default0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B3042C4" w14:textId="77777777" w:rsidR="00145901" w:rsidRPr="00756D00" w:rsidRDefault="00145901" w:rsidP="008B2F8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C59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2pt;margin-top:462.65pt;width:530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" stroked="f">
              <v:textbox>
                <w:txbxContent>
                  <w:p w14:paraId="7A6CD830" w14:textId="77777777" w:rsidR="00145901" w:rsidRDefault="00145901" w:rsidP="00892FB9">
                    <w:pPr>
                      <w:pStyle w:val="Default0"/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</w:pPr>
                  </w:p>
                  <w:p w14:paraId="3CAEB46E" w14:textId="77777777" w:rsidR="00145901" w:rsidRDefault="00145901" w:rsidP="00EF2AB8">
                    <w:pPr>
                      <w:pStyle w:val="Default0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6"/>
                      </w:rPr>
                      <w:t>Excellence through effort and aspiration</w:t>
                    </w:r>
                  </w:p>
                  <w:p w14:paraId="154CB7B4" w14:textId="77777777" w:rsidR="00145901" w:rsidRPr="00EF2AB8" w:rsidRDefault="00145901" w:rsidP="00EF2AB8">
                    <w:pPr>
                      <w:pStyle w:val="Default0"/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</w:p>
                  <w:p w14:paraId="3B3042C4" w14:textId="77777777" w:rsidR="00145901" w:rsidRPr="00756D00" w:rsidRDefault="00145901" w:rsidP="008B2F87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7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3B4A2D">
      <w:rPr>
        <w:noProof/>
        <w:sz w:val="19"/>
        <w:szCs w:val="19"/>
        <w:lang w:eastAsia="en-GB"/>
      </w:rPr>
      <w:pict w14:anchorId="63486AB8">
        <v:rect id="_x0000_i1025" alt="" style="width:787pt;height:.05pt;flip:y;mso-width-percent:0;mso-height-percent:0;mso-width-percent:0;mso-height-percent:0" o:hrpct="988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BC83E" w14:textId="77777777" w:rsidR="00145901" w:rsidRPr="00785559" w:rsidRDefault="00145901">
      <w:pPr>
        <w:rPr>
          <w:sz w:val="23"/>
          <w:szCs w:val="23"/>
        </w:rPr>
      </w:pPr>
      <w:r w:rsidRPr="00785559">
        <w:rPr>
          <w:sz w:val="23"/>
          <w:szCs w:val="23"/>
        </w:rPr>
        <w:separator/>
      </w:r>
    </w:p>
  </w:footnote>
  <w:footnote w:type="continuationSeparator" w:id="0">
    <w:p w14:paraId="6E9F1E7D" w14:textId="77777777" w:rsidR="00145901" w:rsidRPr="00785559" w:rsidRDefault="00145901">
      <w:pPr>
        <w:rPr>
          <w:sz w:val="23"/>
          <w:szCs w:val="23"/>
        </w:rPr>
      </w:pPr>
      <w:r w:rsidRPr="0078555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931"/>
    </w:tblGrid>
    <w:tr w:rsidR="00145901" w:rsidRPr="00785559" w14:paraId="1EAF7243" w14:textId="77777777" w:rsidTr="00D876DA">
      <w:trPr>
        <w:trHeight w:val="637"/>
      </w:trPr>
      <w:tc>
        <w:tcPr>
          <w:tcW w:w="16161" w:type="dxa"/>
        </w:tcPr>
        <w:p w14:paraId="2FD226D3" w14:textId="6D4AC4E2" w:rsidR="00145901" w:rsidRPr="00785559" w:rsidRDefault="00145901">
          <w:pPr>
            <w:rPr>
              <w:noProof/>
              <w:sz w:val="19"/>
              <w:szCs w:val="19"/>
              <w:lang w:eastAsia="en-GB"/>
            </w:rPr>
          </w:pPr>
          <w:r>
            <w:rPr>
              <w:rFonts w:ascii="Calibri" w:hAnsi="Calibri" w:cs="Calibri"/>
              <w:b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0134DEA1" wp14:editId="644D7278">
                <wp:simplePos x="0" y="0"/>
                <wp:positionH relativeFrom="column">
                  <wp:posOffset>9402089</wp:posOffset>
                </wp:positionH>
                <wp:positionV relativeFrom="paragraph">
                  <wp:posOffset>-449084</wp:posOffset>
                </wp:positionV>
                <wp:extent cx="698500" cy="579120"/>
                <wp:effectExtent l="0" t="0" r="12700" b="5080"/>
                <wp:wrapThrough wrapText="bothSides">
                  <wp:wrapPolygon edited="0">
                    <wp:start x="0" y="0"/>
                    <wp:lineTo x="0" y="20842"/>
                    <wp:lineTo x="21207" y="20842"/>
                    <wp:lineTo x="21207" y="0"/>
                    <wp:lineTo x="0" y="0"/>
                  </wp:wrapPolygon>
                </wp:wrapThrough>
                <wp:docPr id="2" name="Picture 2" descr="../Desktop/Low%20Road%20&amp;%20Windmill%20MF%20Logo%2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Desktop/Low%20Road%20&amp;%20Windmill%20MF%20Logo%2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283CC1" w14:textId="555BD476" w:rsidR="00145901" w:rsidRPr="00735A15" w:rsidRDefault="00145901" w:rsidP="00164AF0">
          <w:pPr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December 2021</w:t>
          </w:r>
        </w:p>
      </w:tc>
    </w:tr>
  </w:tbl>
  <w:p w14:paraId="4BBF2604" w14:textId="77777777" w:rsidR="00145901" w:rsidRPr="000C3A1F" w:rsidRDefault="00145901">
    <w:pPr>
      <w:pStyle w:val="Header"/>
      <w:rPr>
        <w:rFonts w:ascii="Calibri" w:hAnsi="Calibri" w:cs="Calibri"/>
        <w:sz w:val="28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1BB"/>
    <w:multiLevelType w:val="multilevel"/>
    <w:tmpl w:val="A39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" w15:restartNumberingAfterBreak="0">
    <w:nsid w:val="06E478C6"/>
    <w:multiLevelType w:val="multilevel"/>
    <w:tmpl w:val="51D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A1B87"/>
    <w:multiLevelType w:val="hybridMultilevel"/>
    <w:tmpl w:val="7B4C8FD2"/>
    <w:lvl w:ilvl="0" w:tplc="920655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FFD"/>
    <w:multiLevelType w:val="hybridMultilevel"/>
    <w:tmpl w:val="8CEC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6264"/>
    <w:multiLevelType w:val="hybridMultilevel"/>
    <w:tmpl w:val="F8080CAC"/>
    <w:lvl w:ilvl="0" w:tplc="9A2E6032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4129"/>
    <w:multiLevelType w:val="hybridMultilevel"/>
    <w:tmpl w:val="6C06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7328"/>
    <w:multiLevelType w:val="multilevel"/>
    <w:tmpl w:val="18E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4507B"/>
    <w:multiLevelType w:val="hybridMultilevel"/>
    <w:tmpl w:val="7F845BE2"/>
    <w:lvl w:ilvl="0" w:tplc="9A2E6032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668"/>
    <w:multiLevelType w:val="multilevel"/>
    <w:tmpl w:val="363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5332E"/>
    <w:multiLevelType w:val="hybridMultilevel"/>
    <w:tmpl w:val="6E42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34A0"/>
    <w:multiLevelType w:val="hybridMultilevel"/>
    <w:tmpl w:val="5A40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E254F"/>
    <w:multiLevelType w:val="multilevel"/>
    <w:tmpl w:val="0C7C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12A74"/>
    <w:multiLevelType w:val="hybridMultilevel"/>
    <w:tmpl w:val="15A82B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DE95512"/>
    <w:multiLevelType w:val="hybridMultilevel"/>
    <w:tmpl w:val="D7BC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9505B"/>
    <w:multiLevelType w:val="hybridMultilevel"/>
    <w:tmpl w:val="025C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47A7E"/>
    <w:multiLevelType w:val="hybridMultilevel"/>
    <w:tmpl w:val="5D8C193A"/>
    <w:lvl w:ilvl="0" w:tplc="920655B6">
      <w:start w:val="4"/>
      <w:numFmt w:val="bullet"/>
      <w:lvlText w:val=""/>
      <w:lvlJc w:val="left"/>
      <w:pPr>
        <w:ind w:left="823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12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01C4A"/>
    <w:rsid w:val="00005AC6"/>
    <w:rsid w:val="00012E36"/>
    <w:rsid w:val="00014B95"/>
    <w:rsid w:val="0001799F"/>
    <w:rsid w:val="00023582"/>
    <w:rsid w:val="0002453A"/>
    <w:rsid w:val="00033743"/>
    <w:rsid w:val="00040F7F"/>
    <w:rsid w:val="00043A83"/>
    <w:rsid w:val="00043BD6"/>
    <w:rsid w:val="00043F33"/>
    <w:rsid w:val="00045B97"/>
    <w:rsid w:val="00046487"/>
    <w:rsid w:val="00050E95"/>
    <w:rsid w:val="0005630A"/>
    <w:rsid w:val="000573B3"/>
    <w:rsid w:val="00057D1C"/>
    <w:rsid w:val="00074743"/>
    <w:rsid w:val="000773C8"/>
    <w:rsid w:val="000777C1"/>
    <w:rsid w:val="00081B25"/>
    <w:rsid w:val="00081EED"/>
    <w:rsid w:val="00085BD2"/>
    <w:rsid w:val="00097E82"/>
    <w:rsid w:val="000A0852"/>
    <w:rsid w:val="000B4641"/>
    <w:rsid w:val="000B6C50"/>
    <w:rsid w:val="000B74FE"/>
    <w:rsid w:val="000C02AF"/>
    <w:rsid w:val="000C3A1F"/>
    <w:rsid w:val="000C4610"/>
    <w:rsid w:val="000D0F61"/>
    <w:rsid w:val="000D402D"/>
    <w:rsid w:val="000D49E7"/>
    <w:rsid w:val="000D6C53"/>
    <w:rsid w:val="000D75AF"/>
    <w:rsid w:val="000E3739"/>
    <w:rsid w:val="000F14C5"/>
    <w:rsid w:val="00102C32"/>
    <w:rsid w:val="001166FA"/>
    <w:rsid w:val="001243FD"/>
    <w:rsid w:val="00130D6C"/>
    <w:rsid w:val="00134BB4"/>
    <w:rsid w:val="001423FA"/>
    <w:rsid w:val="00144835"/>
    <w:rsid w:val="00145901"/>
    <w:rsid w:val="00145ED1"/>
    <w:rsid w:val="001466F9"/>
    <w:rsid w:val="00146F41"/>
    <w:rsid w:val="0015687E"/>
    <w:rsid w:val="00164AF0"/>
    <w:rsid w:val="00170EC1"/>
    <w:rsid w:val="00182537"/>
    <w:rsid w:val="001864B2"/>
    <w:rsid w:val="001951CF"/>
    <w:rsid w:val="00196B84"/>
    <w:rsid w:val="001A18FE"/>
    <w:rsid w:val="001A1F27"/>
    <w:rsid w:val="001A2417"/>
    <w:rsid w:val="001A7F78"/>
    <w:rsid w:val="001B1FE1"/>
    <w:rsid w:val="001B36D4"/>
    <w:rsid w:val="001B6B6F"/>
    <w:rsid w:val="001C13CE"/>
    <w:rsid w:val="001C5002"/>
    <w:rsid w:val="001C5219"/>
    <w:rsid w:val="001C553D"/>
    <w:rsid w:val="001C78EE"/>
    <w:rsid w:val="001D066C"/>
    <w:rsid w:val="001D34E9"/>
    <w:rsid w:val="001D7173"/>
    <w:rsid w:val="001D7BFC"/>
    <w:rsid w:val="001E1E99"/>
    <w:rsid w:val="001E2E10"/>
    <w:rsid w:val="001F0DBC"/>
    <w:rsid w:val="001F1D4B"/>
    <w:rsid w:val="001F3CCA"/>
    <w:rsid w:val="00203DF9"/>
    <w:rsid w:val="002040A0"/>
    <w:rsid w:val="002041A6"/>
    <w:rsid w:val="00227EF1"/>
    <w:rsid w:val="00230069"/>
    <w:rsid w:val="00232F06"/>
    <w:rsid w:val="0023497D"/>
    <w:rsid w:val="0023785F"/>
    <w:rsid w:val="00242D77"/>
    <w:rsid w:val="00250204"/>
    <w:rsid w:val="00254438"/>
    <w:rsid w:val="00255471"/>
    <w:rsid w:val="00261BD7"/>
    <w:rsid w:val="00262203"/>
    <w:rsid w:val="00264E02"/>
    <w:rsid w:val="00271AC9"/>
    <w:rsid w:val="00277866"/>
    <w:rsid w:val="00292672"/>
    <w:rsid w:val="0029500C"/>
    <w:rsid w:val="002979F0"/>
    <w:rsid w:val="002B0DDB"/>
    <w:rsid w:val="002B4635"/>
    <w:rsid w:val="002C4AEF"/>
    <w:rsid w:val="002C6C82"/>
    <w:rsid w:val="002E0A9D"/>
    <w:rsid w:val="002E2502"/>
    <w:rsid w:val="002F0186"/>
    <w:rsid w:val="002F3D5C"/>
    <w:rsid w:val="00305AD5"/>
    <w:rsid w:val="00314276"/>
    <w:rsid w:val="003276C2"/>
    <w:rsid w:val="003307CB"/>
    <w:rsid w:val="00330C97"/>
    <w:rsid w:val="0033214E"/>
    <w:rsid w:val="003343B8"/>
    <w:rsid w:val="003351B5"/>
    <w:rsid w:val="003401AC"/>
    <w:rsid w:val="003425E2"/>
    <w:rsid w:val="0036006D"/>
    <w:rsid w:val="00370804"/>
    <w:rsid w:val="00373D0C"/>
    <w:rsid w:val="003779AB"/>
    <w:rsid w:val="003853C5"/>
    <w:rsid w:val="003901C0"/>
    <w:rsid w:val="003930F3"/>
    <w:rsid w:val="003A4C91"/>
    <w:rsid w:val="003B390A"/>
    <w:rsid w:val="003B4A2D"/>
    <w:rsid w:val="003B72D1"/>
    <w:rsid w:val="003C0B0F"/>
    <w:rsid w:val="003C6438"/>
    <w:rsid w:val="003D5A53"/>
    <w:rsid w:val="003D65D3"/>
    <w:rsid w:val="003E737E"/>
    <w:rsid w:val="003F7334"/>
    <w:rsid w:val="003F765C"/>
    <w:rsid w:val="00410843"/>
    <w:rsid w:val="004160A5"/>
    <w:rsid w:val="004227AA"/>
    <w:rsid w:val="00423D9A"/>
    <w:rsid w:val="00423EEF"/>
    <w:rsid w:val="0042426F"/>
    <w:rsid w:val="00426627"/>
    <w:rsid w:val="0042795B"/>
    <w:rsid w:val="00431125"/>
    <w:rsid w:val="00431CA0"/>
    <w:rsid w:val="004333F4"/>
    <w:rsid w:val="00436495"/>
    <w:rsid w:val="0043716D"/>
    <w:rsid w:val="004372D1"/>
    <w:rsid w:val="0044189A"/>
    <w:rsid w:val="00452C6B"/>
    <w:rsid w:val="00461737"/>
    <w:rsid w:val="00471C92"/>
    <w:rsid w:val="0048159A"/>
    <w:rsid w:val="00482CB5"/>
    <w:rsid w:val="0048565F"/>
    <w:rsid w:val="00486F18"/>
    <w:rsid w:val="004872BC"/>
    <w:rsid w:val="004877A6"/>
    <w:rsid w:val="00487EC8"/>
    <w:rsid w:val="00487F2A"/>
    <w:rsid w:val="0049060C"/>
    <w:rsid w:val="00490BAA"/>
    <w:rsid w:val="00492E4E"/>
    <w:rsid w:val="004930C8"/>
    <w:rsid w:val="004953E0"/>
    <w:rsid w:val="00497903"/>
    <w:rsid w:val="004A276D"/>
    <w:rsid w:val="004A7718"/>
    <w:rsid w:val="004B2837"/>
    <w:rsid w:val="004C13D7"/>
    <w:rsid w:val="004C1CC2"/>
    <w:rsid w:val="004C7361"/>
    <w:rsid w:val="004E1212"/>
    <w:rsid w:val="004E64D5"/>
    <w:rsid w:val="004F478B"/>
    <w:rsid w:val="004F7518"/>
    <w:rsid w:val="004F7751"/>
    <w:rsid w:val="004F799D"/>
    <w:rsid w:val="00503A1F"/>
    <w:rsid w:val="00510A30"/>
    <w:rsid w:val="0051365B"/>
    <w:rsid w:val="00513B18"/>
    <w:rsid w:val="00527EE5"/>
    <w:rsid w:val="00533DC8"/>
    <w:rsid w:val="005366CD"/>
    <w:rsid w:val="005429D7"/>
    <w:rsid w:val="00542C79"/>
    <w:rsid w:val="005524E9"/>
    <w:rsid w:val="00554808"/>
    <w:rsid w:val="005563E7"/>
    <w:rsid w:val="00562FB6"/>
    <w:rsid w:val="005721F2"/>
    <w:rsid w:val="00582707"/>
    <w:rsid w:val="0058285A"/>
    <w:rsid w:val="00584195"/>
    <w:rsid w:val="00590EAA"/>
    <w:rsid w:val="00594850"/>
    <w:rsid w:val="005B2202"/>
    <w:rsid w:val="005B39DD"/>
    <w:rsid w:val="005B6231"/>
    <w:rsid w:val="005C2EF9"/>
    <w:rsid w:val="005E5B72"/>
    <w:rsid w:val="005F0F7B"/>
    <w:rsid w:val="005F1E25"/>
    <w:rsid w:val="005F28C5"/>
    <w:rsid w:val="005F57C3"/>
    <w:rsid w:val="005F7057"/>
    <w:rsid w:val="00604334"/>
    <w:rsid w:val="00615523"/>
    <w:rsid w:val="00616CCB"/>
    <w:rsid w:val="00621FDE"/>
    <w:rsid w:val="00631C10"/>
    <w:rsid w:val="00632B49"/>
    <w:rsid w:val="00640D11"/>
    <w:rsid w:val="00643C4F"/>
    <w:rsid w:val="006454CE"/>
    <w:rsid w:val="006526E0"/>
    <w:rsid w:val="00652AC7"/>
    <w:rsid w:val="00653056"/>
    <w:rsid w:val="006532B5"/>
    <w:rsid w:val="00665CB6"/>
    <w:rsid w:val="006745E7"/>
    <w:rsid w:val="00687D9F"/>
    <w:rsid w:val="00697060"/>
    <w:rsid w:val="006975D4"/>
    <w:rsid w:val="006A4384"/>
    <w:rsid w:val="006B083F"/>
    <w:rsid w:val="006B34F0"/>
    <w:rsid w:val="006B4222"/>
    <w:rsid w:val="006B54A4"/>
    <w:rsid w:val="006B5F02"/>
    <w:rsid w:val="006C121B"/>
    <w:rsid w:val="006C2494"/>
    <w:rsid w:val="006C5451"/>
    <w:rsid w:val="006C547C"/>
    <w:rsid w:val="006D0AE7"/>
    <w:rsid w:val="006D136C"/>
    <w:rsid w:val="006D1C5D"/>
    <w:rsid w:val="006D4D4A"/>
    <w:rsid w:val="006D7EFE"/>
    <w:rsid w:val="006E4D9D"/>
    <w:rsid w:val="006E723F"/>
    <w:rsid w:val="006E7395"/>
    <w:rsid w:val="006F0F2E"/>
    <w:rsid w:val="0070149D"/>
    <w:rsid w:val="007034C6"/>
    <w:rsid w:val="00703FFB"/>
    <w:rsid w:val="00704772"/>
    <w:rsid w:val="00723D54"/>
    <w:rsid w:val="00731E35"/>
    <w:rsid w:val="0073342F"/>
    <w:rsid w:val="00734183"/>
    <w:rsid w:val="00735A15"/>
    <w:rsid w:val="00737082"/>
    <w:rsid w:val="00737165"/>
    <w:rsid w:val="00740084"/>
    <w:rsid w:val="00742331"/>
    <w:rsid w:val="007462E2"/>
    <w:rsid w:val="00756D00"/>
    <w:rsid w:val="00764207"/>
    <w:rsid w:val="00772EEA"/>
    <w:rsid w:val="00775A37"/>
    <w:rsid w:val="00784663"/>
    <w:rsid w:val="00785117"/>
    <w:rsid w:val="00785559"/>
    <w:rsid w:val="007919CA"/>
    <w:rsid w:val="007A094A"/>
    <w:rsid w:val="007A1AED"/>
    <w:rsid w:val="007B0F87"/>
    <w:rsid w:val="007B1F1F"/>
    <w:rsid w:val="007B2539"/>
    <w:rsid w:val="007B3959"/>
    <w:rsid w:val="007D0204"/>
    <w:rsid w:val="007D03CD"/>
    <w:rsid w:val="007D4598"/>
    <w:rsid w:val="007D546F"/>
    <w:rsid w:val="007D5C6C"/>
    <w:rsid w:val="007E2438"/>
    <w:rsid w:val="007E6327"/>
    <w:rsid w:val="007E6790"/>
    <w:rsid w:val="007E6872"/>
    <w:rsid w:val="007F1473"/>
    <w:rsid w:val="007F5E8B"/>
    <w:rsid w:val="0080594B"/>
    <w:rsid w:val="0082310F"/>
    <w:rsid w:val="008268E9"/>
    <w:rsid w:val="00831B3A"/>
    <w:rsid w:val="00842BB7"/>
    <w:rsid w:val="00842BBD"/>
    <w:rsid w:val="00852674"/>
    <w:rsid w:val="0085361F"/>
    <w:rsid w:val="0086003D"/>
    <w:rsid w:val="00862F26"/>
    <w:rsid w:val="00866AAF"/>
    <w:rsid w:val="00874EB4"/>
    <w:rsid w:val="00892FB9"/>
    <w:rsid w:val="00895C57"/>
    <w:rsid w:val="00895D7A"/>
    <w:rsid w:val="008B2F87"/>
    <w:rsid w:val="008B6356"/>
    <w:rsid w:val="008B736E"/>
    <w:rsid w:val="008C2334"/>
    <w:rsid w:val="008C5552"/>
    <w:rsid w:val="008D5124"/>
    <w:rsid w:val="008D516E"/>
    <w:rsid w:val="008D6CDD"/>
    <w:rsid w:val="008E124B"/>
    <w:rsid w:val="008E3D08"/>
    <w:rsid w:val="008E6322"/>
    <w:rsid w:val="008E7005"/>
    <w:rsid w:val="008E7913"/>
    <w:rsid w:val="008F233B"/>
    <w:rsid w:val="008F2E56"/>
    <w:rsid w:val="008F4DD2"/>
    <w:rsid w:val="008F7695"/>
    <w:rsid w:val="0090255B"/>
    <w:rsid w:val="009043D6"/>
    <w:rsid w:val="00904EBA"/>
    <w:rsid w:val="00905CFF"/>
    <w:rsid w:val="00906DF4"/>
    <w:rsid w:val="00907E50"/>
    <w:rsid w:val="00916047"/>
    <w:rsid w:val="009203F0"/>
    <w:rsid w:val="0092275A"/>
    <w:rsid w:val="00926DBD"/>
    <w:rsid w:val="009276D7"/>
    <w:rsid w:val="00932EDA"/>
    <w:rsid w:val="009333C7"/>
    <w:rsid w:val="009355A6"/>
    <w:rsid w:val="0094725B"/>
    <w:rsid w:val="00952026"/>
    <w:rsid w:val="009575B5"/>
    <w:rsid w:val="009575E6"/>
    <w:rsid w:val="00961611"/>
    <w:rsid w:val="00963591"/>
    <w:rsid w:val="009756ED"/>
    <w:rsid w:val="00983934"/>
    <w:rsid w:val="00984E2E"/>
    <w:rsid w:val="009859F4"/>
    <w:rsid w:val="00994246"/>
    <w:rsid w:val="00997EA1"/>
    <w:rsid w:val="009A4019"/>
    <w:rsid w:val="009A78C4"/>
    <w:rsid w:val="009B3E20"/>
    <w:rsid w:val="009C63C2"/>
    <w:rsid w:val="009D1AA0"/>
    <w:rsid w:val="009D56BA"/>
    <w:rsid w:val="009E3835"/>
    <w:rsid w:val="009E63AE"/>
    <w:rsid w:val="009F23BA"/>
    <w:rsid w:val="009F61B6"/>
    <w:rsid w:val="00A01014"/>
    <w:rsid w:val="00A03246"/>
    <w:rsid w:val="00A20759"/>
    <w:rsid w:val="00A46671"/>
    <w:rsid w:val="00A46CC0"/>
    <w:rsid w:val="00A567B5"/>
    <w:rsid w:val="00A621AE"/>
    <w:rsid w:val="00A64FC0"/>
    <w:rsid w:val="00A664AC"/>
    <w:rsid w:val="00A84974"/>
    <w:rsid w:val="00A85FAB"/>
    <w:rsid w:val="00A863BF"/>
    <w:rsid w:val="00A911C5"/>
    <w:rsid w:val="00A96BA4"/>
    <w:rsid w:val="00AB7C64"/>
    <w:rsid w:val="00AC170C"/>
    <w:rsid w:val="00AC36B8"/>
    <w:rsid w:val="00AC3A1A"/>
    <w:rsid w:val="00AC3FDE"/>
    <w:rsid w:val="00AC51EF"/>
    <w:rsid w:val="00AC658F"/>
    <w:rsid w:val="00AD7F12"/>
    <w:rsid w:val="00AE7799"/>
    <w:rsid w:val="00AF2D93"/>
    <w:rsid w:val="00AF4097"/>
    <w:rsid w:val="00B01121"/>
    <w:rsid w:val="00B011EA"/>
    <w:rsid w:val="00B03ABB"/>
    <w:rsid w:val="00B045D7"/>
    <w:rsid w:val="00B05A04"/>
    <w:rsid w:val="00B139EF"/>
    <w:rsid w:val="00B401D6"/>
    <w:rsid w:val="00B413AA"/>
    <w:rsid w:val="00B45B31"/>
    <w:rsid w:val="00B47AF0"/>
    <w:rsid w:val="00B53578"/>
    <w:rsid w:val="00B557CE"/>
    <w:rsid w:val="00B55F61"/>
    <w:rsid w:val="00B761F3"/>
    <w:rsid w:val="00B76F04"/>
    <w:rsid w:val="00B8314E"/>
    <w:rsid w:val="00B865F1"/>
    <w:rsid w:val="00B90EC6"/>
    <w:rsid w:val="00B97D9C"/>
    <w:rsid w:val="00BB7058"/>
    <w:rsid w:val="00BD434B"/>
    <w:rsid w:val="00BD5337"/>
    <w:rsid w:val="00BD7CC2"/>
    <w:rsid w:val="00BE653E"/>
    <w:rsid w:val="00C01A10"/>
    <w:rsid w:val="00C0737A"/>
    <w:rsid w:val="00C26526"/>
    <w:rsid w:val="00C376EC"/>
    <w:rsid w:val="00C45B42"/>
    <w:rsid w:val="00C45B7B"/>
    <w:rsid w:val="00C65D04"/>
    <w:rsid w:val="00C807D4"/>
    <w:rsid w:val="00C8622C"/>
    <w:rsid w:val="00C94F01"/>
    <w:rsid w:val="00CA53C6"/>
    <w:rsid w:val="00CA6E7E"/>
    <w:rsid w:val="00CB1703"/>
    <w:rsid w:val="00CB4FCA"/>
    <w:rsid w:val="00CB7E31"/>
    <w:rsid w:val="00CC1A4D"/>
    <w:rsid w:val="00CC30CE"/>
    <w:rsid w:val="00CC5885"/>
    <w:rsid w:val="00CD060C"/>
    <w:rsid w:val="00CE33F4"/>
    <w:rsid w:val="00CE6121"/>
    <w:rsid w:val="00CF081A"/>
    <w:rsid w:val="00CF11C6"/>
    <w:rsid w:val="00D07335"/>
    <w:rsid w:val="00D1183E"/>
    <w:rsid w:val="00D11A8D"/>
    <w:rsid w:val="00D14C1B"/>
    <w:rsid w:val="00D1632B"/>
    <w:rsid w:val="00D227EC"/>
    <w:rsid w:val="00D321A1"/>
    <w:rsid w:val="00D37678"/>
    <w:rsid w:val="00D44867"/>
    <w:rsid w:val="00D452BB"/>
    <w:rsid w:val="00D45F25"/>
    <w:rsid w:val="00D74787"/>
    <w:rsid w:val="00D85192"/>
    <w:rsid w:val="00D876DA"/>
    <w:rsid w:val="00D90727"/>
    <w:rsid w:val="00D95A62"/>
    <w:rsid w:val="00D96DA9"/>
    <w:rsid w:val="00DA175D"/>
    <w:rsid w:val="00DA4E14"/>
    <w:rsid w:val="00DB0DC4"/>
    <w:rsid w:val="00DB1122"/>
    <w:rsid w:val="00DB49B0"/>
    <w:rsid w:val="00DC31C8"/>
    <w:rsid w:val="00DC5C91"/>
    <w:rsid w:val="00DD2C3B"/>
    <w:rsid w:val="00DE05B5"/>
    <w:rsid w:val="00DE3208"/>
    <w:rsid w:val="00DE5CF9"/>
    <w:rsid w:val="00DE6B27"/>
    <w:rsid w:val="00E0670C"/>
    <w:rsid w:val="00E13B19"/>
    <w:rsid w:val="00E314D9"/>
    <w:rsid w:val="00E33E6A"/>
    <w:rsid w:val="00E37DCF"/>
    <w:rsid w:val="00E42968"/>
    <w:rsid w:val="00E4439E"/>
    <w:rsid w:val="00E534DE"/>
    <w:rsid w:val="00E61412"/>
    <w:rsid w:val="00E61AF2"/>
    <w:rsid w:val="00E74507"/>
    <w:rsid w:val="00E74DF0"/>
    <w:rsid w:val="00E76F20"/>
    <w:rsid w:val="00E810E0"/>
    <w:rsid w:val="00E81617"/>
    <w:rsid w:val="00E84137"/>
    <w:rsid w:val="00E95C97"/>
    <w:rsid w:val="00EB6929"/>
    <w:rsid w:val="00EB6F05"/>
    <w:rsid w:val="00EC148F"/>
    <w:rsid w:val="00EC4758"/>
    <w:rsid w:val="00EC65D2"/>
    <w:rsid w:val="00EC798F"/>
    <w:rsid w:val="00ED0168"/>
    <w:rsid w:val="00EF0DFC"/>
    <w:rsid w:val="00EF1CB9"/>
    <w:rsid w:val="00EF1CCA"/>
    <w:rsid w:val="00EF2AB8"/>
    <w:rsid w:val="00EF382D"/>
    <w:rsid w:val="00EF3B8A"/>
    <w:rsid w:val="00EF7947"/>
    <w:rsid w:val="00F02A19"/>
    <w:rsid w:val="00F06114"/>
    <w:rsid w:val="00F06BF2"/>
    <w:rsid w:val="00F0770D"/>
    <w:rsid w:val="00F16807"/>
    <w:rsid w:val="00F244F1"/>
    <w:rsid w:val="00F26B02"/>
    <w:rsid w:val="00F30BA3"/>
    <w:rsid w:val="00F317A6"/>
    <w:rsid w:val="00F37CE6"/>
    <w:rsid w:val="00F52487"/>
    <w:rsid w:val="00F55716"/>
    <w:rsid w:val="00F57AFB"/>
    <w:rsid w:val="00F57C5F"/>
    <w:rsid w:val="00F641AA"/>
    <w:rsid w:val="00F646E2"/>
    <w:rsid w:val="00F759BE"/>
    <w:rsid w:val="00F85696"/>
    <w:rsid w:val="00FA533B"/>
    <w:rsid w:val="00FA7E59"/>
    <w:rsid w:val="00FB226A"/>
    <w:rsid w:val="00FB739A"/>
    <w:rsid w:val="00FC2F38"/>
    <w:rsid w:val="00FC7343"/>
    <w:rsid w:val="00FD2C06"/>
    <w:rsid w:val="00FD4535"/>
    <w:rsid w:val="00FD5B0A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44039"/>
  <w15:docId w15:val="{2BEBCDE1-3A4B-1345-B03A-457D9FF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paragraph" w:styleId="Subtitle">
    <w:name w:val="Subtitle"/>
    <w:basedOn w:val="Normal"/>
    <w:qFormat/>
    <w:rPr>
      <w:rFonts w:ascii="Arial" w:hAnsi="Arial"/>
      <w:b/>
      <w:szCs w:val="20"/>
    </w:rPr>
  </w:style>
  <w:style w:type="paragraph" w:styleId="BodyTextIndent">
    <w:name w:val="Body Text Indent"/>
    <w:basedOn w:val="Normal"/>
    <w:semiHidden/>
    <w:pPr>
      <w:ind w:left="3261"/>
    </w:pPr>
    <w:rPr>
      <w:i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3">
    <w:name w:val="Body Text 3"/>
    <w:basedOn w:val="Normal"/>
    <w:semiHidden/>
    <w:rPr>
      <w:sz w:val="22"/>
      <w:szCs w:val="20"/>
    </w:rPr>
  </w:style>
  <w:style w:type="paragraph" w:styleId="BodyTextIndent2">
    <w:name w:val="Body Text Indent 2"/>
    <w:basedOn w:val="Normal"/>
    <w:semiHidden/>
    <w:pPr>
      <w:ind w:left="317" w:hanging="317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Impact" w:eastAsia="Symbol" w:hAnsi="Impact" w:cs="Impact"/>
      <w:color w:val="800080"/>
      <w:sz w:val="64"/>
      <w:szCs w:val="20"/>
    </w:rPr>
  </w:style>
  <w:style w:type="paragraph" w:customStyle="1" w:styleId="default">
    <w:name w:val="default"/>
    <w:basedOn w:val="Normal"/>
    <w:rsid w:val="0048565F"/>
    <w:pPr>
      <w:autoSpaceDE w:val="0"/>
      <w:autoSpaceDN w:val="0"/>
    </w:pPr>
    <w:rPr>
      <w:rFonts w:ascii="Arial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25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652AC7"/>
    <w:rPr>
      <w:rFonts w:ascii="Times New Roman" w:eastAsia="Times New Roman" w:hAnsi="Times New Roman"/>
      <w:lang w:eastAsia="en-US"/>
    </w:rPr>
  </w:style>
  <w:style w:type="paragraph" w:customStyle="1" w:styleId="Default0">
    <w:name w:val="Default"/>
    <w:rsid w:val="00EF2A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Tabletextbullet">
    <w:name w:val="Table text bullet"/>
    <w:basedOn w:val="Normal"/>
    <w:rsid w:val="006B34F0"/>
    <w:pPr>
      <w:numPr>
        <w:numId w:val="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xmsonormal">
    <w:name w:val="x_msonormal"/>
    <w:basedOn w:val="Normal"/>
    <w:rsid w:val="009333C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9D73-B52F-4427-8D6C-CB6EEFC0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the vision</vt:lpstr>
    </vt:vector>
  </TitlesOfParts>
  <Company>Snapethorpe Primary School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vision</dc:title>
  <dc:creator>Mark Randall</dc:creator>
  <cp:lastModifiedBy>Louisa Milner</cp:lastModifiedBy>
  <cp:revision>18</cp:revision>
  <cp:lastPrinted>2014-08-26T13:51:00Z</cp:lastPrinted>
  <dcterms:created xsi:type="dcterms:W3CDTF">2021-12-01T13:20:00Z</dcterms:created>
  <dcterms:modified xsi:type="dcterms:W3CDTF">2021-12-02T12:33:00Z</dcterms:modified>
</cp:coreProperties>
</file>